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87B" w:rsidRPr="000F387B" w:rsidRDefault="000F387B" w:rsidP="000F387B">
      <w:pPr>
        <w:spacing w:line="240" w:lineRule="auto"/>
        <w:outlineLvl w:val="2"/>
        <w:rPr>
          <w:rFonts w:ascii="Times New Roman" w:eastAsia="Times New Roman" w:hAnsi="Times New Roman" w:cs="Times New Roman"/>
          <w:b/>
          <w:bCs/>
          <w:caps/>
        </w:rPr>
      </w:pPr>
      <w:r w:rsidRPr="000F387B">
        <w:rPr>
          <w:rFonts w:ascii="Times New Roman" w:eastAsia="Times New Roman" w:hAnsi="Times New Roman" w:cs="Times New Roman"/>
          <w:b/>
          <w:bCs/>
          <w:caps/>
        </w:rPr>
        <w:t>Electronic Code of Federal Regulations</w:t>
      </w:r>
    </w:p>
    <w:tbl>
      <w:tblPr>
        <w:tblW w:w="4500" w:type="pct"/>
        <w:jc w:val="center"/>
        <w:tblCellSpacing w:w="15" w:type="dxa"/>
        <w:tblCellMar>
          <w:top w:w="15" w:type="dxa"/>
          <w:left w:w="15" w:type="dxa"/>
          <w:bottom w:w="15" w:type="dxa"/>
          <w:right w:w="15" w:type="dxa"/>
        </w:tblCellMar>
        <w:tblLook w:val="04A0" w:firstRow="1" w:lastRow="0" w:firstColumn="1" w:lastColumn="0" w:noHBand="0" w:noVBand="1"/>
      </w:tblPr>
      <w:tblGrid>
        <w:gridCol w:w="8424"/>
      </w:tblGrid>
      <w:tr w:rsidR="000F387B" w:rsidRPr="000F387B" w:rsidTr="000F387B">
        <w:trPr>
          <w:tblCellSpacing w:w="15" w:type="dxa"/>
          <w:jc w:val="center"/>
        </w:trPr>
        <w:tc>
          <w:tcPr>
            <w:tcW w:w="0" w:type="auto"/>
            <w:hideMark/>
          </w:tcPr>
          <w:p w:rsidR="000F387B" w:rsidRPr="000F387B" w:rsidRDefault="000F387B" w:rsidP="000F387B">
            <w:pPr>
              <w:spacing w:before="100" w:beforeAutospacing="1" w:after="100" w:afterAutospacing="1" w:line="240" w:lineRule="auto"/>
              <w:rPr>
                <w:rFonts w:ascii="Arial" w:eastAsia="Times New Roman" w:hAnsi="Arial" w:cs="Arial"/>
                <w:b/>
                <w:bCs/>
                <w:color w:val="FF0000"/>
              </w:rPr>
            </w:pPr>
            <w:r w:rsidRPr="000F387B">
              <w:rPr>
                <w:rFonts w:ascii="Arial" w:eastAsia="Times New Roman" w:hAnsi="Arial" w:cs="Arial"/>
                <w:b/>
                <w:bCs/>
                <w:color w:val="FF0000"/>
              </w:rPr>
              <w:t>e-CFR Data is current as of December 19, 2014</w:t>
            </w:r>
          </w:p>
        </w:tc>
      </w:tr>
    </w:tbl>
    <w:p w:rsidR="000F387B" w:rsidRPr="000F387B" w:rsidRDefault="000F387B" w:rsidP="000F387B">
      <w:pPr>
        <w:spacing w:line="240" w:lineRule="auto"/>
        <w:rPr>
          <w:rFonts w:ascii="Arial" w:eastAsia="Times New Roman" w:hAnsi="Arial" w:cs="Arial"/>
          <w:vanish/>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608"/>
      </w:tblGrid>
      <w:tr w:rsidR="000F387B" w:rsidRPr="000F387B" w:rsidTr="000F387B">
        <w:trPr>
          <w:tblCellSpacing w:w="15" w:type="dxa"/>
          <w:jc w:val="center"/>
        </w:trPr>
        <w:tc>
          <w:tcPr>
            <w:tcW w:w="0" w:type="auto"/>
            <w:hideMark/>
          </w:tcPr>
          <w:p w:rsidR="000F387B" w:rsidRPr="000F387B" w:rsidRDefault="000F387B" w:rsidP="000F387B">
            <w:pPr>
              <w:spacing w:before="200" w:after="100" w:afterAutospacing="1" w:line="240" w:lineRule="auto"/>
              <w:rPr>
                <w:rFonts w:ascii="Arial" w:eastAsia="Times New Roman" w:hAnsi="Arial" w:cs="Arial"/>
              </w:rPr>
            </w:pPr>
            <w:hyperlink r:id="rId4" w:history="1">
              <w:r w:rsidRPr="000F387B">
                <w:rPr>
                  <w:rFonts w:ascii="Arial" w:eastAsia="Times New Roman" w:hAnsi="Arial" w:cs="Arial"/>
                  <w:color w:val="0000FF"/>
                </w:rPr>
                <w:t>Title 40</w:t>
              </w:r>
            </w:hyperlink>
            <w:r w:rsidRPr="000F387B">
              <w:rPr>
                <w:rFonts w:ascii="Arial" w:eastAsia="Times New Roman" w:hAnsi="Arial" w:cs="Arial"/>
              </w:rPr>
              <w:t xml:space="preserve"> → </w:t>
            </w:r>
            <w:hyperlink r:id="rId5" w:history="1">
              <w:r w:rsidRPr="000F387B">
                <w:rPr>
                  <w:rFonts w:ascii="Arial" w:eastAsia="Times New Roman" w:hAnsi="Arial" w:cs="Arial"/>
                  <w:color w:val="0000FF"/>
                </w:rPr>
                <w:t>Chapter I</w:t>
              </w:r>
            </w:hyperlink>
            <w:r w:rsidRPr="000F387B">
              <w:rPr>
                <w:rFonts w:ascii="Arial" w:eastAsia="Times New Roman" w:hAnsi="Arial" w:cs="Arial"/>
              </w:rPr>
              <w:t xml:space="preserve"> → </w:t>
            </w:r>
            <w:hyperlink r:id="rId6" w:history="1">
              <w:r w:rsidRPr="000F387B">
                <w:rPr>
                  <w:rFonts w:ascii="Arial" w:eastAsia="Times New Roman" w:hAnsi="Arial" w:cs="Arial"/>
                  <w:color w:val="0000FF"/>
                </w:rPr>
                <w:t>Subchapter C</w:t>
              </w:r>
            </w:hyperlink>
            <w:r w:rsidRPr="000F387B">
              <w:rPr>
                <w:rFonts w:ascii="Arial" w:eastAsia="Times New Roman" w:hAnsi="Arial" w:cs="Arial"/>
              </w:rPr>
              <w:t xml:space="preserve"> → </w:t>
            </w:r>
            <w:hyperlink r:id="rId7" w:history="1">
              <w:r w:rsidRPr="000F387B">
                <w:rPr>
                  <w:rFonts w:ascii="Arial" w:eastAsia="Times New Roman" w:hAnsi="Arial" w:cs="Arial"/>
                  <w:color w:val="0000FF"/>
                </w:rPr>
                <w:t>Part 63</w:t>
              </w:r>
            </w:hyperlink>
            <w:r w:rsidRPr="000F387B">
              <w:rPr>
                <w:rFonts w:ascii="Arial" w:eastAsia="Times New Roman" w:hAnsi="Arial" w:cs="Arial"/>
              </w:rPr>
              <w:t xml:space="preserve"> → Subpart DDDD</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pict>
                <v:rect id="_x0000_i1025" style="width:0;height:1.5pt" o:hrstd="t" o:hrnoshade="t" o:hr="t" fillcolor="black" stroked="f"/>
              </w:pict>
            </w:r>
          </w:p>
        </w:tc>
      </w:tr>
    </w:tbl>
    <w:p w:rsidR="000F387B" w:rsidRPr="000F387B" w:rsidRDefault="000F387B" w:rsidP="000F387B">
      <w:pPr>
        <w:spacing w:before="200" w:after="100" w:afterAutospacing="1" w:line="240" w:lineRule="auto"/>
        <w:rPr>
          <w:rFonts w:ascii="Arial" w:eastAsia="Times New Roman" w:hAnsi="Arial" w:cs="Arial"/>
        </w:rPr>
      </w:pPr>
      <w:hyperlink r:id="rId8" w:history="1">
        <w:r w:rsidRPr="000F387B">
          <w:rPr>
            <w:rFonts w:ascii="Arial" w:eastAsia="Times New Roman" w:hAnsi="Arial" w:cs="Arial"/>
            <w:color w:val="0000FF"/>
          </w:rPr>
          <w:t>Browse Previous</w:t>
        </w:r>
      </w:hyperlink>
      <w:r w:rsidRPr="000F387B">
        <w:rPr>
          <w:rFonts w:ascii="Arial" w:eastAsia="Times New Roman" w:hAnsi="Arial" w:cs="Arial"/>
        </w:rPr>
        <w:t xml:space="preserve"> | </w:t>
      </w:r>
      <w:hyperlink r:id="rId9" w:history="1">
        <w:r w:rsidRPr="000F387B">
          <w:rPr>
            <w:rFonts w:ascii="Arial" w:eastAsia="Times New Roman" w:hAnsi="Arial" w:cs="Arial"/>
            <w:color w:val="0000FF"/>
          </w:rPr>
          <w:t>Browse Next</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Title 40: Protection of Environment </w:t>
      </w:r>
      <w:r w:rsidRPr="000F387B">
        <w:rPr>
          <w:rFonts w:ascii="Arial" w:eastAsia="Times New Roman" w:hAnsi="Arial" w:cs="Arial"/>
        </w:rPr>
        <w:br/>
      </w:r>
      <w:hyperlink r:id="rId10" w:history="1">
        <w:r w:rsidRPr="000F387B">
          <w:rPr>
            <w:rFonts w:ascii="Arial" w:eastAsia="Times New Roman" w:hAnsi="Arial" w:cs="Arial"/>
            <w:color w:val="0000FF"/>
          </w:rPr>
          <w:t>PART 63—NATIONAL EMISSION STANDARDS FOR HAZARDOUS AIR POLLUTANTS FOR SOURCE CATEGORIES (CONTINUED)</w:t>
        </w:r>
      </w:hyperlink>
      <w:r w:rsidRPr="000F387B">
        <w:rPr>
          <w:rFonts w:ascii="Arial" w:eastAsia="Times New Roman" w:hAnsi="Arial" w:cs="Arial"/>
        </w:rPr>
        <w:t xml:space="preserve">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pict>
          <v:rect id="_x0000_i1026" style="width:0;height:1.5pt" o:hrstd="t" o:hr="t" fillcolor="#a0a0a0" stroked="f"/>
        </w:pict>
      </w:r>
    </w:p>
    <w:p w:rsidR="000F387B" w:rsidRPr="000F387B" w:rsidRDefault="000F387B" w:rsidP="000F387B">
      <w:pPr>
        <w:spacing w:before="200" w:after="100" w:line="240" w:lineRule="auto"/>
        <w:outlineLvl w:val="1"/>
        <w:rPr>
          <w:rFonts w:ascii="Arial" w:eastAsia="Times New Roman" w:hAnsi="Arial" w:cs="Arial"/>
          <w:b/>
          <w:bCs/>
        </w:rPr>
      </w:pPr>
      <w:bookmarkStart w:id="0" w:name="_top"/>
      <w:bookmarkEnd w:id="0"/>
      <w:r w:rsidRPr="000F387B">
        <w:rPr>
          <w:rFonts w:ascii="Arial" w:eastAsia="Times New Roman" w:hAnsi="Arial" w:cs="Arial"/>
          <w:b/>
          <w:bCs/>
        </w:rPr>
        <w:t>Subpart DDDD—National Emission Standards for Hazardous Air Pollutants: Plywood and Composite Wood Products</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pict>
          <v:rect id="_x0000_i1027" style="width:0;height:1.5pt" o:hrstd="t" o:hr="t" fillcolor="#a0a0a0" stroked="f"/>
        </w:pic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b/>
          <w:bCs/>
        </w:rPr>
        <w:t>Contents</w:t>
      </w:r>
    </w:p>
    <w:p w:rsidR="000F387B" w:rsidRPr="000F387B" w:rsidRDefault="000F387B" w:rsidP="000F387B">
      <w:pPr>
        <w:spacing w:after="100" w:afterAutospacing="1" w:line="240" w:lineRule="auto"/>
        <w:rPr>
          <w:rFonts w:ascii="Arial" w:eastAsia="Times New Roman" w:hAnsi="Arial" w:cs="Arial"/>
          <w:smallCaps/>
        </w:rPr>
      </w:pPr>
      <w:hyperlink r:id="rId11" w:anchor="sg40.13.63.dddd.sg34" w:history="1">
        <w:r w:rsidRPr="000F387B">
          <w:rPr>
            <w:rFonts w:ascii="Arial" w:eastAsia="Times New Roman" w:hAnsi="Arial" w:cs="Arial"/>
            <w:smallCaps/>
            <w:color w:val="0000FF"/>
          </w:rPr>
          <w:t>What This Subpart Covers</w:t>
        </w:r>
      </w:hyperlink>
    </w:p>
    <w:p w:rsidR="000F387B" w:rsidRPr="000F387B" w:rsidRDefault="000F387B" w:rsidP="000F387B">
      <w:pPr>
        <w:spacing w:after="0" w:line="240" w:lineRule="auto"/>
        <w:rPr>
          <w:rFonts w:ascii="Arial" w:eastAsia="Times New Roman" w:hAnsi="Arial" w:cs="Arial"/>
        </w:rPr>
      </w:pPr>
      <w:hyperlink r:id="rId12" w:anchor="se40.13.63_12230" w:history="1">
        <w:r w:rsidRPr="000F387B">
          <w:rPr>
            <w:rFonts w:ascii="Arial" w:eastAsia="Times New Roman" w:hAnsi="Arial" w:cs="Arial"/>
            <w:color w:val="0000FF"/>
          </w:rPr>
          <w:t>§63.2230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is the purpose of this subpart?</w:t>
        </w:r>
      </w:hyperlink>
      <w:r w:rsidRPr="000F387B">
        <w:rPr>
          <w:rFonts w:ascii="Arial" w:eastAsia="Times New Roman" w:hAnsi="Arial" w:cs="Arial"/>
        </w:rPr>
        <w:br/>
      </w:r>
      <w:hyperlink r:id="rId13" w:anchor="se40.13.63_12231" w:history="1">
        <w:r w:rsidRPr="000F387B">
          <w:rPr>
            <w:rFonts w:ascii="Arial" w:eastAsia="Times New Roman" w:hAnsi="Arial" w:cs="Arial"/>
            <w:color w:val="0000FF"/>
          </w:rPr>
          <w:t>§63.2231   Does this subpart apply to me?</w:t>
        </w:r>
      </w:hyperlink>
      <w:r w:rsidRPr="000F387B">
        <w:rPr>
          <w:rFonts w:ascii="Arial" w:eastAsia="Times New Roman" w:hAnsi="Arial" w:cs="Arial"/>
        </w:rPr>
        <w:br/>
      </w:r>
      <w:hyperlink r:id="rId14" w:anchor="se40.13.63_12232" w:history="1">
        <w:r w:rsidRPr="000F387B">
          <w:rPr>
            <w:rFonts w:ascii="Arial" w:eastAsia="Times New Roman" w:hAnsi="Arial" w:cs="Arial"/>
            <w:color w:val="0000FF"/>
          </w:rPr>
          <w:t>§63.2232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parts of my plant does this subpart cover?</w:t>
        </w:r>
      </w:hyperlink>
      <w:r w:rsidRPr="000F387B">
        <w:rPr>
          <w:rFonts w:ascii="Arial" w:eastAsia="Times New Roman" w:hAnsi="Arial" w:cs="Arial"/>
        </w:rPr>
        <w:br/>
      </w:r>
      <w:hyperlink r:id="rId15" w:anchor="se40.13.63_12233" w:history="1">
        <w:r w:rsidRPr="000F387B">
          <w:rPr>
            <w:rFonts w:ascii="Arial" w:eastAsia="Times New Roman" w:hAnsi="Arial" w:cs="Arial"/>
            <w:color w:val="0000FF"/>
          </w:rPr>
          <w:t>§63.2233   When do I have to comply with this subpart?</w:t>
        </w:r>
      </w:hyperlink>
    </w:p>
    <w:p w:rsidR="000F387B" w:rsidRPr="000F387B" w:rsidRDefault="000F387B" w:rsidP="000F387B">
      <w:pPr>
        <w:spacing w:after="100" w:afterAutospacing="1" w:line="240" w:lineRule="auto"/>
        <w:rPr>
          <w:rFonts w:ascii="Arial" w:eastAsia="Times New Roman" w:hAnsi="Arial" w:cs="Arial"/>
          <w:smallCaps/>
        </w:rPr>
      </w:pPr>
      <w:hyperlink r:id="rId16" w:anchor="sg40.13.63_12233.sg35" w:history="1">
        <w:r w:rsidRPr="000F387B">
          <w:rPr>
            <w:rFonts w:ascii="Arial" w:eastAsia="Times New Roman" w:hAnsi="Arial" w:cs="Arial"/>
            <w:smallCaps/>
            <w:color w:val="0000FF"/>
          </w:rPr>
          <w:t>Compliance Options, Operating Requirements, and Work Practice Requirements</w:t>
        </w:r>
      </w:hyperlink>
    </w:p>
    <w:p w:rsidR="000F387B" w:rsidRPr="000F387B" w:rsidRDefault="000F387B" w:rsidP="000F387B">
      <w:pPr>
        <w:spacing w:after="0" w:line="240" w:lineRule="auto"/>
        <w:rPr>
          <w:rFonts w:ascii="Arial" w:eastAsia="Times New Roman" w:hAnsi="Arial" w:cs="Arial"/>
        </w:rPr>
      </w:pPr>
      <w:hyperlink r:id="rId17" w:anchor="se40.13.63_12240" w:history="1">
        <w:r w:rsidRPr="000F387B">
          <w:rPr>
            <w:rFonts w:ascii="Arial" w:eastAsia="Times New Roman" w:hAnsi="Arial" w:cs="Arial"/>
            <w:color w:val="0000FF"/>
          </w:rPr>
          <w:t>§63.2240   What are the compliance options and operating requirements and how must I meet them?</w:t>
        </w:r>
      </w:hyperlink>
      <w:r w:rsidRPr="000F387B">
        <w:rPr>
          <w:rFonts w:ascii="Arial" w:eastAsia="Times New Roman" w:hAnsi="Arial" w:cs="Arial"/>
        </w:rPr>
        <w:br/>
      </w:r>
      <w:hyperlink r:id="rId18" w:anchor="se40.13.63_12241" w:history="1">
        <w:r w:rsidRPr="000F387B">
          <w:rPr>
            <w:rFonts w:ascii="Arial" w:eastAsia="Times New Roman" w:hAnsi="Arial" w:cs="Arial"/>
            <w:color w:val="0000FF"/>
          </w:rPr>
          <w:t>§63.2241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are the work practice requirements and how must I meet them?</w:t>
        </w:r>
      </w:hyperlink>
    </w:p>
    <w:p w:rsidR="000F387B" w:rsidRPr="000F387B" w:rsidRDefault="000F387B" w:rsidP="000F387B">
      <w:pPr>
        <w:spacing w:after="100" w:afterAutospacing="1" w:line="240" w:lineRule="auto"/>
        <w:rPr>
          <w:rFonts w:ascii="Arial" w:eastAsia="Times New Roman" w:hAnsi="Arial" w:cs="Arial"/>
          <w:smallCaps/>
        </w:rPr>
      </w:pPr>
      <w:hyperlink r:id="rId19" w:anchor="sg40.13.63_12241.sg36" w:history="1">
        <w:r w:rsidRPr="000F387B">
          <w:rPr>
            <w:rFonts w:ascii="Arial" w:eastAsia="Times New Roman" w:hAnsi="Arial" w:cs="Arial"/>
            <w:smallCaps/>
            <w:color w:val="0000FF"/>
          </w:rPr>
          <w:t>General Compliance Requirements</w:t>
        </w:r>
      </w:hyperlink>
    </w:p>
    <w:p w:rsidR="000F387B" w:rsidRPr="000F387B" w:rsidRDefault="000F387B" w:rsidP="000F387B">
      <w:pPr>
        <w:spacing w:after="0" w:line="240" w:lineRule="auto"/>
        <w:rPr>
          <w:rFonts w:ascii="Arial" w:eastAsia="Times New Roman" w:hAnsi="Arial" w:cs="Arial"/>
        </w:rPr>
      </w:pPr>
      <w:hyperlink r:id="rId20" w:anchor="se40.13.63_12250" w:history="1">
        <w:r w:rsidRPr="000F387B">
          <w:rPr>
            <w:rFonts w:ascii="Arial" w:eastAsia="Times New Roman" w:hAnsi="Arial" w:cs="Arial"/>
            <w:color w:val="0000FF"/>
          </w:rPr>
          <w:t>§63.2250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are the general requirements?</w:t>
        </w:r>
      </w:hyperlink>
      <w:r w:rsidRPr="000F387B">
        <w:rPr>
          <w:rFonts w:ascii="Arial" w:eastAsia="Times New Roman" w:hAnsi="Arial" w:cs="Arial"/>
        </w:rPr>
        <w:br/>
      </w:r>
      <w:hyperlink r:id="rId21" w:anchor="se40.13.63_12251" w:history="1">
        <w:r w:rsidRPr="000F387B">
          <w:rPr>
            <w:rFonts w:ascii="Arial" w:eastAsia="Times New Roman" w:hAnsi="Arial" w:cs="Arial"/>
            <w:color w:val="0000FF"/>
          </w:rPr>
          <w:t>§63.2251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are the requirements for the routine control device maintenance exemption?</w:t>
        </w:r>
      </w:hyperlink>
      <w:r w:rsidRPr="000F387B">
        <w:rPr>
          <w:rFonts w:ascii="Arial" w:eastAsia="Times New Roman" w:hAnsi="Arial" w:cs="Arial"/>
        </w:rPr>
        <w:br/>
      </w:r>
      <w:hyperlink r:id="rId22" w:anchor="se40.13.63_12252" w:history="1">
        <w:r w:rsidRPr="000F387B">
          <w:rPr>
            <w:rFonts w:ascii="Arial" w:eastAsia="Times New Roman" w:hAnsi="Arial" w:cs="Arial"/>
            <w:color w:val="0000FF"/>
          </w:rPr>
          <w:t>§63.2252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are the requirements for process units that have no control or work practice requirements?</w:t>
        </w:r>
      </w:hyperlink>
    </w:p>
    <w:p w:rsidR="000F387B" w:rsidRPr="000F387B" w:rsidRDefault="000F387B" w:rsidP="000F387B">
      <w:pPr>
        <w:spacing w:after="100" w:afterAutospacing="1" w:line="240" w:lineRule="auto"/>
        <w:rPr>
          <w:rFonts w:ascii="Arial" w:eastAsia="Times New Roman" w:hAnsi="Arial" w:cs="Arial"/>
          <w:smallCaps/>
        </w:rPr>
      </w:pPr>
      <w:hyperlink r:id="rId23" w:anchor="sg40.13.63_12252.sg37" w:history="1">
        <w:r w:rsidRPr="000F387B">
          <w:rPr>
            <w:rFonts w:ascii="Arial" w:eastAsia="Times New Roman" w:hAnsi="Arial" w:cs="Arial"/>
            <w:smallCaps/>
            <w:color w:val="0000FF"/>
          </w:rPr>
          <w:t>Initial Compliance Requirements</w:t>
        </w:r>
      </w:hyperlink>
    </w:p>
    <w:p w:rsidR="000F387B" w:rsidRPr="000F387B" w:rsidRDefault="000F387B" w:rsidP="000F387B">
      <w:pPr>
        <w:spacing w:after="0" w:line="240" w:lineRule="auto"/>
        <w:rPr>
          <w:rFonts w:ascii="Arial" w:eastAsia="Times New Roman" w:hAnsi="Arial" w:cs="Arial"/>
        </w:rPr>
      </w:pPr>
      <w:hyperlink r:id="rId24" w:anchor="se40.13.63_12260" w:history="1">
        <w:r w:rsidRPr="000F387B">
          <w:rPr>
            <w:rFonts w:ascii="Arial" w:eastAsia="Times New Roman" w:hAnsi="Arial" w:cs="Arial"/>
            <w:color w:val="0000FF"/>
          </w:rPr>
          <w:t>§63.2260   </w:t>
        </w:r>
        <w:proofErr w:type="gramStart"/>
        <w:r w:rsidRPr="000F387B">
          <w:rPr>
            <w:rFonts w:ascii="Arial" w:eastAsia="Times New Roman" w:hAnsi="Arial" w:cs="Arial"/>
            <w:color w:val="0000FF"/>
          </w:rPr>
          <w:t>How</w:t>
        </w:r>
        <w:proofErr w:type="gramEnd"/>
        <w:r w:rsidRPr="000F387B">
          <w:rPr>
            <w:rFonts w:ascii="Arial" w:eastAsia="Times New Roman" w:hAnsi="Arial" w:cs="Arial"/>
            <w:color w:val="0000FF"/>
          </w:rPr>
          <w:t xml:space="preserve"> do I demonstrate initial compliance with the compliance options, operating requirements, and work practice requirements?</w:t>
        </w:r>
      </w:hyperlink>
      <w:r w:rsidRPr="000F387B">
        <w:rPr>
          <w:rFonts w:ascii="Arial" w:eastAsia="Times New Roman" w:hAnsi="Arial" w:cs="Arial"/>
        </w:rPr>
        <w:br/>
      </w:r>
      <w:hyperlink r:id="rId25" w:anchor="se40.13.63_12261" w:history="1">
        <w:r w:rsidRPr="000F387B">
          <w:rPr>
            <w:rFonts w:ascii="Arial" w:eastAsia="Times New Roman" w:hAnsi="Arial" w:cs="Arial"/>
            <w:color w:val="0000FF"/>
          </w:rPr>
          <w:t>§63.2261   </w:t>
        </w:r>
        <w:proofErr w:type="gramStart"/>
        <w:r w:rsidRPr="000F387B">
          <w:rPr>
            <w:rFonts w:ascii="Arial" w:eastAsia="Times New Roman" w:hAnsi="Arial" w:cs="Arial"/>
            <w:color w:val="0000FF"/>
          </w:rPr>
          <w:t>By</w:t>
        </w:r>
        <w:proofErr w:type="gramEnd"/>
        <w:r w:rsidRPr="000F387B">
          <w:rPr>
            <w:rFonts w:ascii="Arial" w:eastAsia="Times New Roman" w:hAnsi="Arial" w:cs="Arial"/>
            <w:color w:val="0000FF"/>
          </w:rPr>
          <w:t xml:space="preserve"> what date must I conduct performance tests or other initial compliance demonstrations?</w:t>
        </w:r>
      </w:hyperlink>
      <w:r w:rsidRPr="000F387B">
        <w:rPr>
          <w:rFonts w:ascii="Arial" w:eastAsia="Times New Roman" w:hAnsi="Arial" w:cs="Arial"/>
        </w:rPr>
        <w:br/>
      </w:r>
      <w:hyperlink r:id="rId26" w:anchor="se40.13.63_12262" w:history="1">
        <w:r w:rsidRPr="000F387B">
          <w:rPr>
            <w:rFonts w:ascii="Arial" w:eastAsia="Times New Roman" w:hAnsi="Arial" w:cs="Arial"/>
            <w:color w:val="0000FF"/>
          </w:rPr>
          <w:t>§63.2262   </w:t>
        </w:r>
        <w:proofErr w:type="gramStart"/>
        <w:r w:rsidRPr="000F387B">
          <w:rPr>
            <w:rFonts w:ascii="Arial" w:eastAsia="Times New Roman" w:hAnsi="Arial" w:cs="Arial"/>
            <w:color w:val="0000FF"/>
          </w:rPr>
          <w:t>How</w:t>
        </w:r>
        <w:proofErr w:type="gramEnd"/>
        <w:r w:rsidRPr="000F387B">
          <w:rPr>
            <w:rFonts w:ascii="Arial" w:eastAsia="Times New Roman" w:hAnsi="Arial" w:cs="Arial"/>
            <w:color w:val="0000FF"/>
          </w:rPr>
          <w:t xml:space="preserve"> do I conduct performance tests and establish operating requirements?</w:t>
        </w:r>
      </w:hyperlink>
      <w:r w:rsidRPr="000F387B">
        <w:rPr>
          <w:rFonts w:ascii="Arial" w:eastAsia="Times New Roman" w:hAnsi="Arial" w:cs="Arial"/>
        </w:rPr>
        <w:br/>
      </w:r>
      <w:hyperlink r:id="rId27" w:anchor="se40.13.63_12263" w:history="1">
        <w:r w:rsidRPr="000F387B">
          <w:rPr>
            <w:rFonts w:ascii="Arial" w:eastAsia="Times New Roman" w:hAnsi="Arial" w:cs="Arial"/>
            <w:color w:val="0000FF"/>
          </w:rPr>
          <w:t>§63.2263   Initial compliance demonstration for a dry rotary dryer.</w:t>
        </w:r>
      </w:hyperlink>
      <w:r w:rsidRPr="000F387B">
        <w:rPr>
          <w:rFonts w:ascii="Arial" w:eastAsia="Times New Roman" w:hAnsi="Arial" w:cs="Arial"/>
        </w:rPr>
        <w:br/>
      </w:r>
      <w:hyperlink r:id="rId28" w:anchor="se40.13.63_12264" w:history="1">
        <w:r w:rsidRPr="000F387B">
          <w:rPr>
            <w:rFonts w:ascii="Arial" w:eastAsia="Times New Roman" w:hAnsi="Arial" w:cs="Arial"/>
            <w:color w:val="0000FF"/>
          </w:rPr>
          <w:t>§63.2264   Initial compliance demonstration for a hardwood veneer dryer.</w:t>
        </w:r>
      </w:hyperlink>
      <w:r w:rsidRPr="000F387B">
        <w:rPr>
          <w:rFonts w:ascii="Arial" w:eastAsia="Times New Roman" w:hAnsi="Arial" w:cs="Arial"/>
        </w:rPr>
        <w:br/>
      </w:r>
      <w:hyperlink r:id="rId29" w:anchor="se40.13.63_12265" w:history="1">
        <w:r w:rsidRPr="000F387B">
          <w:rPr>
            <w:rFonts w:ascii="Arial" w:eastAsia="Times New Roman" w:hAnsi="Arial" w:cs="Arial"/>
            <w:color w:val="0000FF"/>
          </w:rPr>
          <w:t>§63.2265   Initial compliance demonstration for a softwood veneer dryer.</w:t>
        </w:r>
      </w:hyperlink>
      <w:r w:rsidRPr="000F387B">
        <w:rPr>
          <w:rFonts w:ascii="Arial" w:eastAsia="Times New Roman" w:hAnsi="Arial" w:cs="Arial"/>
        </w:rPr>
        <w:br/>
      </w:r>
      <w:hyperlink r:id="rId30" w:anchor="se40.13.63_12266" w:history="1">
        <w:r w:rsidRPr="000F387B">
          <w:rPr>
            <w:rFonts w:ascii="Arial" w:eastAsia="Times New Roman" w:hAnsi="Arial" w:cs="Arial"/>
            <w:color w:val="0000FF"/>
          </w:rPr>
          <w:t xml:space="preserve">§63.2266   Initial compliance demonstration for a veneer </w:t>
        </w:r>
        <w:proofErr w:type="spellStart"/>
        <w:r w:rsidRPr="000F387B">
          <w:rPr>
            <w:rFonts w:ascii="Arial" w:eastAsia="Times New Roman" w:hAnsi="Arial" w:cs="Arial"/>
            <w:color w:val="0000FF"/>
          </w:rPr>
          <w:t>redryer</w:t>
        </w:r>
        <w:proofErr w:type="spellEnd"/>
        <w:r w:rsidRPr="000F387B">
          <w:rPr>
            <w:rFonts w:ascii="Arial" w:eastAsia="Times New Roman" w:hAnsi="Arial" w:cs="Arial"/>
            <w:color w:val="0000FF"/>
          </w:rPr>
          <w:t>.</w:t>
        </w:r>
      </w:hyperlink>
      <w:r w:rsidRPr="000F387B">
        <w:rPr>
          <w:rFonts w:ascii="Arial" w:eastAsia="Times New Roman" w:hAnsi="Arial" w:cs="Arial"/>
        </w:rPr>
        <w:br/>
      </w:r>
      <w:hyperlink r:id="rId31" w:anchor="se40.13.63_12267" w:history="1">
        <w:r w:rsidRPr="000F387B">
          <w:rPr>
            <w:rFonts w:ascii="Arial" w:eastAsia="Times New Roman" w:hAnsi="Arial" w:cs="Arial"/>
            <w:color w:val="0000FF"/>
          </w:rPr>
          <w:t>§63.2267   Initial compliance demonstration for a reconstituted wood product press or board cooler.</w:t>
        </w:r>
      </w:hyperlink>
      <w:r w:rsidRPr="000F387B">
        <w:rPr>
          <w:rFonts w:ascii="Arial" w:eastAsia="Times New Roman" w:hAnsi="Arial" w:cs="Arial"/>
        </w:rPr>
        <w:br/>
      </w:r>
      <w:hyperlink r:id="rId32" w:anchor="se40.13.63_12268" w:history="1">
        <w:r w:rsidRPr="000F387B">
          <w:rPr>
            <w:rFonts w:ascii="Arial" w:eastAsia="Times New Roman" w:hAnsi="Arial" w:cs="Arial"/>
            <w:color w:val="0000FF"/>
          </w:rPr>
          <w:t>§63.2268   Initial compliance demonstration for a wet control device.</w:t>
        </w:r>
      </w:hyperlink>
      <w:r w:rsidRPr="000F387B">
        <w:rPr>
          <w:rFonts w:ascii="Arial" w:eastAsia="Times New Roman" w:hAnsi="Arial" w:cs="Arial"/>
        </w:rPr>
        <w:br/>
      </w:r>
      <w:hyperlink r:id="rId33" w:anchor="se40.13.63_12269" w:history="1">
        <w:r w:rsidRPr="000F387B">
          <w:rPr>
            <w:rFonts w:ascii="Arial" w:eastAsia="Times New Roman" w:hAnsi="Arial" w:cs="Arial"/>
            <w:color w:val="0000FF"/>
          </w:rPr>
          <w:t>§63.2269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are my monitoring installation, operation, and maintenance requirements?</w:t>
        </w:r>
      </w:hyperlink>
    </w:p>
    <w:p w:rsidR="000F387B" w:rsidRPr="000F387B" w:rsidRDefault="000F387B" w:rsidP="000F387B">
      <w:pPr>
        <w:spacing w:after="100" w:afterAutospacing="1" w:line="240" w:lineRule="auto"/>
        <w:rPr>
          <w:rFonts w:ascii="Arial" w:eastAsia="Times New Roman" w:hAnsi="Arial" w:cs="Arial"/>
          <w:smallCaps/>
        </w:rPr>
      </w:pPr>
      <w:hyperlink r:id="rId34" w:anchor="sg40.13.63_12269.sg38" w:history="1">
        <w:r w:rsidRPr="000F387B">
          <w:rPr>
            <w:rFonts w:ascii="Arial" w:eastAsia="Times New Roman" w:hAnsi="Arial" w:cs="Arial"/>
            <w:smallCaps/>
            <w:color w:val="0000FF"/>
          </w:rPr>
          <w:t>Continuous Compliance Requirements</w:t>
        </w:r>
      </w:hyperlink>
    </w:p>
    <w:p w:rsidR="000F387B" w:rsidRPr="000F387B" w:rsidRDefault="000F387B" w:rsidP="000F387B">
      <w:pPr>
        <w:spacing w:after="0" w:line="240" w:lineRule="auto"/>
        <w:rPr>
          <w:rFonts w:ascii="Arial" w:eastAsia="Times New Roman" w:hAnsi="Arial" w:cs="Arial"/>
        </w:rPr>
      </w:pPr>
      <w:hyperlink r:id="rId35" w:anchor="se40.13.63_12270" w:history="1">
        <w:r w:rsidRPr="000F387B">
          <w:rPr>
            <w:rFonts w:ascii="Arial" w:eastAsia="Times New Roman" w:hAnsi="Arial" w:cs="Arial"/>
            <w:color w:val="0000FF"/>
          </w:rPr>
          <w:t>§63.2270   </w:t>
        </w:r>
        <w:proofErr w:type="gramStart"/>
        <w:r w:rsidRPr="000F387B">
          <w:rPr>
            <w:rFonts w:ascii="Arial" w:eastAsia="Times New Roman" w:hAnsi="Arial" w:cs="Arial"/>
            <w:color w:val="0000FF"/>
          </w:rPr>
          <w:t>How</w:t>
        </w:r>
        <w:proofErr w:type="gramEnd"/>
        <w:r w:rsidRPr="000F387B">
          <w:rPr>
            <w:rFonts w:ascii="Arial" w:eastAsia="Times New Roman" w:hAnsi="Arial" w:cs="Arial"/>
            <w:color w:val="0000FF"/>
          </w:rPr>
          <w:t xml:space="preserve"> do I monitor and collect data to demonstrate continuous compliance?</w:t>
        </w:r>
      </w:hyperlink>
      <w:r w:rsidRPr="000F387B">
        <w:rPr>
          <w:rFonts w:ascii="Arial" w:eastAsia="Times New Roman" w:hAnsi="Arial" w:cs="Arial"/>
        </w:rPr>
        <w:br/>
      </w:r>
      <w:hyperlink r:id="rId36" w:anchor="se40.13.63_12271" w:history="1">
        <w:r w:rsidRPr="000F387B">
          <w:rPr>
            <w:rFonts w:ascii="Arial" w:eastAsia="Times New Roman" w:hAnsi="Arial" w:cs="Arial"/>
            <w:color w:val="0000FF"/>
          </w:rPr>
          <w:t>§63.2271   </w:t>
        </w:r>
        <w:proofErr w:type="gramStart"/>
        <w:r w:rsidRPr="000F387B">
          <w:rPr>
            <w:rFonts w:ascii="Arial" w:eastAsia="Times New Roman" w:hAnsi="Arial" w:cs="Arial"/>
            <w:color w:val="0000FF"/>
          </w:rPr>
          <w:t>How</w:t>
        </w:r>
        <w:proofErr w:type="gramEnd"/>
        <w:r w:rsidRPr="000F387B">
          <w:rPr>
            <w:rFonts w:ascii="Arial" w:eastAsia="Times New Roman" w:hAnsi="Arial" w:cs="Arial"/>
            <w:color w:val="0000FF"/>
          </w:rPr>
          <w:t xml:space="preserve"> do I demonstrate continuous compliance with the compliance options, operating requirements, and work practice requirements?</w:t>
        </w:r>
      </w:hyperlink>
    </w:p>
    <w:p w:rsidR="000F387B" w:rsidRPr="000F387B" w:rsidRDefault="000F387B" w:rsidP="000F387B">
      <w:pPr>
        <w:spacing w:after="100" w:afterAutospacing="1" w:line="240" w:lineRule="auto"/>
        <w:rPr>
          <w:rFonts w:ascii="Arial" w:eastAsia="Times New Roman" w:hAnsi="Arial" w:cs="Arial"/>
          <w:smallCaps/>
        </w:rPr>
      </w:pPr>
      <w:hyperlink r:id="rId37" w:anchor="sg40.13.63_12271.sg39" w:history="1">
        <w:r w:rsidRPr="000F387B">
          <w:rPr>
            <w:rFonts w:ascii="Arial" w:eastAsia="Times New Roman" w:hAnsi="Arial" w:cs="Arial"/>
            <w:smallCaps/>
            <w:color w:val="0000FF"/>
          </w:rPr>
          <w:t>Notifications, Reports, and Records</w:t>
        </w:r>
      </w:hyperlink>
    </w:p>
    <w:p w:rsidR="000F387B" w:rsidRPr="000F387B" w:rsidRDefault="000F387B" w:rsidP="000F387B">
      <w:pPr>
        <w:spacing w:after="0" w:line="240" w:lineRule="auto"/>
        <w:rPr>
          <w:rFonts w:ascii="Arial" w:eastAsia="Times New Roman" w:hAnsi="Arial" w:cs="Arial"/>
        </w:rPr>
      </w:pPr>
      <w:hyperlink r:id="rId38" w:anchor="se40.13.63_12280" w:history="1">
        <w:r w:rsidRPr="000F387B">
          <w:rPr>
            <w:rFonts w:ascii="Arial" w:eastAsia="Times New Roman" w:hAnsi="Arial" w:cs="Arial"/>
            <w:color w:val="0000FF"/>
          </w:rPr>
          <w:t>§63.2280   What notifications must I submit and when?</w:t>
        </w:r>
      </w:hyperlink>
      <w:r w:rsidRPr="000F387B">
        <w:rPr>
          <w:rFonts w:ascii="Arial" w:eastAsia="Times New Roman" w:hAnsi="Arial" w:cs="Arial"/>
        </w:rPr>
        <w:br/>
      </w:r>
      <w:hyperlink r:id="rId39" w:anchor="se40.13.63_12281" w:history="1">
        <w:r w:rsidRPr="000F387B">
          <w:rPr>
            <w:rFonts w:ascii="Arial" w:eastAsia="Times New Roman" w:hAnsi="Arial" w:cs="Arial"/>
            <w:color w:val="0000FF"/>
          </w:rPr>
          <w:t>§63.2281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reports must I submit and when?</w:t>
        </w:r>
      </w:hyperlink>
      <w:r w:rsidRPr="000F387B">
        <w:rPr>
          <w:rFonts w:ascii="Arial" w:eastAsia="Times New Roman" w:hAnsi="Arial" w:cs="Arial"/>
        </w:rPr>
        <w:br/>
      </w:r>
      <w:hyperlink r:id="rId40" w:anchor="se40.13.63_12282" w:history="1">
        <w:r w:rsidRPr="000F387B">
          <w:rPr>
            <w:rFonts w:ascii="Arial" w:eastAsia="Times New Roman" w:hAnsi="Arial" w:cs="Arial"/>
            <w:color w:val="0000FF"/>
          </w:rPr>
          <w:t>§63.2282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records must I keep?</w:t>
        </w:r>
      </w:hyperlink>
      <w:r w:rsidRPr="000F387B">
        <w:rPr>
          <w:rFonts w:ascii="Arial" w:eastAsia="Times New Roman" w:hAnsi="Arial" w:cs="Arial"/>
        </w:rPr>
        <w:br/>
      </w:r>
      <w:hyperlink r:id="rId41" w:anchor="se40.13.63_12283" w:history="1">
        <w:r w:rsidRPr="000F387B">
          <w:rPr>
            <w:rFonts w:ascii="Arial" w:eastAsia="Times New Roman" w:hAnsi="Arial" w:cs="Arial"/>
            <w:color w:val="0000FF"/>
          </w:rPr>
          <w:t>§63.2283   </w:t>
        </w:r>
        <w:proofErr w:type="gramStart"/>
        <w:r w:rsidRPr="000F387B">
          <w:rPr>
            <w:rFonts w:ascii="Arial" w:eastAsia="Times New Roman" w:hAnsi="Arial" w:cs="Arial"/>
            <w:color w:val="0000FF"/>
          </w:rPr>
          <w:t>In</w:t>
        </w:r>
        <w:proofErr w:type="gramEnd"/>
        <w:r w:rsidRPr="000F387B">
          <w:rPr>
            <w:rFonts w:ascii="Arial" w:eastAsia="Times New Roman" w:hAnsi="Arial" w:cs="Arial"/>
            <w:color w:val="0000FF"/>
          </w:rPr>
          <w:t xml:space="preserve"> what form and how long must I keep my records?</w:t>
        </w:r>
      </w:hyperlink>
    </w:p>
    <w:p w:rsidR="000F387B" w:rsidRPr="000F387B" w:rsidRDefault="000F387B" w:rsidP="000F387B">
      <w:pPr>
        <w:spacing w:after="100" w:afterAutospacing="1" w:line="240" w:lineRule="auto"/>
        <w:rPr>
          <w:rFonts w:ascii="Arial" w:eastAsia="Times New Roman" w:hAnsi="Arial" w:cs="Arial"/>
          <w:smallCaps/>
        </w:rPr>
      </w:pPr>
      <w:hyperlink r:id="rId42" w:anchor="sg40.13.63_12283.sg40" w:history="1">
        <w:r w:rsidRPr="000F387B">
          <w:rPr>
            <w:rFonts w:ascii="Arial" w:eastAsia="Times New Roman" w:hAnsi="Arial" w:cs="Arial"/>
            <w:smallCaps/>
            <w:color w:val="0000FF"/>
          </w:rPr>
          <w:t>Other Requirements and Information</w:t>
        </w:r>
      </w:hyperlink>
    </w:p>
    <w:p w:rsidR="000F387B" w:rsidRPr="000F387B" w:rsidRDefault="000F387B" w:rsidP="000F387B">
      <w:pPr>
        <w:spacing w:after="0" w:line="240" w:lineRule="auto"/>
        <w:rPr>
          <w:rFonts w:ascii="Arial" w:eastAsia="Times New Roman" w:hAnsi="Arial" w:cs="Arial"/>
        </w:rPr>
      </w:pPr>
      <w:hyperlink r:id="rId43" w:anchor="se40.13.63_12290" w:history="1">
        <w:r w:rsidRPr="000F387B">
          <w:rPr>
            <w:rFonts w:ascii="Arial" w:eastAsia="Times New Roman" w:hAnsi="Arial" w:cs="Arial"/>
            <w:color w:val="0000FF"/>
          </w:rPr>
          <w:t>§63.2290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parts of the General Provisions apply to me?</w:t>
        </w:r>
      </w:hyperlink>
      <w:r w:rsidRPr="000F387B">
        <w:rPr>
          <w:rFonts w:ascii="Arial" w:eastAsia="Times New Roman" w:hAnsi="Arial" w:cs="Arial"/>
        </w:rPr>
        <w:br/>
      </w:r>
      <w:hyperlink r:id="rId44" w:anchor="se40.13.63_12291" w:history="1">
        <w:r w:rsidRPr="000F387B">
          <w:rPr>
            <w:rFonts w:ascii="Arial" w:eastAsia="Times New Roman" w:hAnsi="Arial" w:cs="Arial"/>
            <w:color w:val="0000FF"/>
          </w:rPr>
          <w:t>§63.2291   </w:t>
        </w:r>
        <w:proofErr w:type="gramStart"/>
        <w:r w:rsidRPr="000F387B">
          <w:rPr>
            <w:rFonts w:ascii="Arial" w:eastAsia="Times New Roman" w:hAnsi="Arial" w:cs="Arial"/>
            <w:color w:val="0000FF"/>
          </w:rPr>
          <w:t>Who</w:t>
        </w:r>
        <w:proofErr w:type="gramEnd"/>
        <w:r w:rsidRPr="000F387B">
          <w:rPr>
            <w:rFonts w:ascii="Arial" w:eastAsia="Times New Roman" w:hAnsi="Arial" w:cs="Arial"/>
            <w:color w:val="0000FF"/>
          </w:rPr>
          <w:t xml:space="preserve"> implements and enforces this subpart?</w:t>
        </w:r>
      </w:hyperlink>
      <w:r w:rsidRPr="000F387B">
        <w:rPr>
          <w:rFonts w:ascii="Arial" w:eastAsia="Times New Roman" w:hAnsi="Arial" w:cs="Arial"/>
        </w:rPr>
        <w:br/>
      </w:r>
      <w:hyperlink r:id="rId45" w:anchor="se40.13.63_12292" w:history="1">
        <w:r w:rsidRPr="000F387B">
          <w:rPr>
            <w:rFonts w:ascii="Arial" w:eastAsia="Times New Roman" w:hAnsi="Arial" w:cs="Arial"/>
            <w:color w:val="0000FF"/>
          </w:rPr>
          <w:t>§63.2292   </w:t>
        </w:r>
        <w:proofErr w:type="gramStart"/>
        <w:r w:rsidRPr="000F387B">
          <w:rPr>
            <w:rFonts w:ascii="Arial" w:eastAsia="Times New Roman" w:hAnsi="Arial" w:cs="Arial"/>
            <w:color w:val="0000FF"/>
          </w:rPr>
          <w:t>What</w:t>
        </w:r>
        <w:proofErr w:type="gramEnd"/>
        <w:r w:rsidRPr="000F387B">
          <w:rPr>
            <w:rFonts w:ascii="Arial" w:eastAsia="Times New Roman" w:hAnsi="Arial" w:cs="Arial"/>
            <w:color w:val="0000FF"/>
          </w:rPr>
          <w:t xml:space="preserve"> definitions apply to this subpart?</w:t>
        </w:r>
      </w:hyperlink>
      <w:r w:rsidRPr="000F387B">
        <w:rPr>
          <w:rFonts w:ascii="Arial" w:eastAsia="Times New Roman" w:hAnsi="Arial" w:cs="Arial"/>
        </w:rPr>
        <w:br/>
      </w:r>
      <w:hyperlink r:id="rId46" w:anchor="ap40.13.63_12292.1" w:history="1">
        <w:r w:rsidRPr="000F387B">
          <w:rPr>
            <w:rFonts w:ascii="Arial" w:eastAsia="Times New Roman" w:hAnsi="Arial" w:cs="Arial"/>
            <w:color w:val="0000FF"/>
          </w:rPr>
          <w:t xml:space="preserve">Table 1A to Subpart DDDD of Part 63—Production-Based Compliance Options </w:t>
        </w:r>
      </w:hyperlink>
      <w:r w:rsidRPr="000F387B">
        <w:rPr>
          <w:rFonts w:ascii="Arial" w:eastAsia="Times New Roman" w:hAnsi="Arial" w:cs="Arial"/>
        </w:rPr>
        <w:br/>
      </w:r>
      <w:hyperlink r:id="rId47" w:anchor="ap40.13.63_12292.2" w:history="1">
        <w:r w:rsidRPr="000F387B">
          <w:rPr>
            <w:rFonts w:ascii="Arial" w:eastAsia="Times New Roman" w:hAnsi="Arial" w:cs="Arial"/>
            <w:color w:val="0000FF"/>
          </w:rPr>
          <w:t>Table 1B to Subpart DDDD of Part 63—Add-on Control Systems Compliance Options</w:t>
        </w:r>
      </w:hyperlink>
      <w:r w:rsidRPr="000F387B">
        <w:rPr>
          <w:rFonts w:ascii="Arial" w:eastAsia="Times New Roman" w:hAnsi="Arial" w:cs="Arial"/>
        </w:rPr>
        <w:br/>
      </w:r>
      <w:hyperlink r:id="rId48" w:anchor="ap40.13.63_12292.3" w:history="1">
        <w:r w:rsidRPr="000F387B">
          <w:rPr>
            <w:rFonts w:ascii="Arial" w:eastAsia="Times New Roman" w:hAnsi="Arial" w:cs="Arial"/>
            <w:color w:val="0000FF"/>
          </w:rPr>
          <w:t xml:space="preserve">Table 2 to Subpart DDDD of Part 63—Operating Requirements </w:t>
        </w:r>
      </w:hyperlink>
      <w:r w:rsidRPr="000F387B">
        <w:rPr>
          <w:rFonts w:ascii="Arial" w:eastAsia="Times New Roman" w:hAnsi="Arial" w:cs="Arial"/>
        </w:rPr>
        <w:br/>
      </w:r>
      <w:hyperlink r:id="rId49" w:anchor="ap40.13.63_12292.4" w:history="1">
        <w:r w:rsidRPr="000F387B">
          <w:rPr>
            <w:rFonts w:ascii="Arial" w:eastAsia="Times New Roman" w:hAnsi="Arial" w:cs="Arial"/>
            <w:color w:val="0000FF"/>
          </w:rPr>
          <w:t>Table 3 to Subpart DDDD of Part 63—Work Practice Requirements</w:t>
        </w:r>
      </w:hyperlink>
      <w:r w:rsidRPr="000F387B">
        <w:rPr>
          <w:rFonts w:ascii="Arial" w:eastAsia="Times New Roman" w:hAnsi="Arial" w:cs="Arial"/>
        </w:rPr>
        <w:br/>
      </w:r>
      <w:hyperlink r:id="rId50" w:anchor="ap40.13.63_12292.5" w:history="1">
        <w:r w:rsidRPr="000F387B">
          <w:rPr>
            <w:rFonts w:ascii="Arial" w:eastAsia="Times New Roman" w:hAnsi="Arial" w:cs="Arial"/>
            <w:color w:val="0000FF"/>
          </w:rPr>
          <w:t xml:space="preserve">Table 4 to Subpart DDDD of Part 63—Requirements for Performance Tests </w:t>
        </w:r>
      </w:hyperlink>
      <w:r w:rsidRPr="000F387B">
        <w:rPr>
          <w:rFonts w:ascii="Arial" w:eastAsia="Times New Roman" w:hAnsi="Arial" w:cs="Arial"/>
        </w:rPr>
        <w:br/>
      </w:r>
      <w:hyperlink r:id="rId51" w:anchor="ap40.13.63_12292.6" w:history="1">
        <w:r w:rsidRPr="000F387B">
          <w:rPr>
            <w:rFonts w:ascii="Arial" w:eastAsia="Times New Roman" w:hAnsi="Arial" w:cs="Arial"/>
            <w:color w:val="0000FF"/>
          </w:rPr>
          <w:t xml:space="preserve">Table 5 to Subpart DDDD of Part 63—Performance Testing and Initial Compliance Demonstrations for the Compliance Options and Operating Requirements </w:t>
        </w:r>
      </w:hyperlink>
      <w:r w:rsidRPr="000F387B">
        <w:rPr>
          <w:rFonts w:ascii="Arial" w:eastAsia="Times New Roman" w:hAnsi="Arial" w:cs="Arial"/>
        </w:rPr>
        <w:br/>
      </w:r>
      <w:hyperlink r:id="rId52" w:anchor="ap40.13.63_12292.7" w:history="1">
        <w:r w:rsidRPr="000F387B">
          <w:rPr>
            <w:rFonts w:ascii="Arial" w:eastAsia="Times New Roman" w:hAnsi="Arial" w:cs="Arial"/>
            <w:color w:val="0000FF"/>
          </w:rPr>
          <w:t xml:space="preserve">Table 6 to Subpart DDDD of Part 63—Initial Compliance Demonstrations for Work Practice Requirements </w:t>
        </w:r>
      </w:hyperlink>
      <w:r w:rsidRPr="000F387B">
        <w:rPr>
          <w:rFonts w:ascii="Arial" w:eastAsia="Times New Roman" w:hAnsi="Arial" w:cs="Arial"/>
        </w:rPr>
        <w:br/>
      </w:r>
      <w:hyperlink r:id="rId53" w:anchor="ap40.13.63_12292.8" w:history="1">
        <w:r w:rsidRPr="000F387B">
          <w:rPr>
            <w:rFonts w:ascii="Arial" w:eastAsia="Times New Roman" w:hAnsi="Arial" w:cs="Arial"/>
            <w:color w:val="0000FF"/>
          </w:rPr>
          <w:t xml:space="preserve">Table 7 to Subpart DDDD of Part 63—Continuous Compliance With the Compliance Options and Operating Requirements </w:t>
        </w:r>
      </w:hyperlink>
      <w:r w:rsidRPr="000F387B">
        <w:rPr>
          <w:rFonts w:ascii="Arial" w:eastAsia="Times New Roman" w:hAnsi="Arial" w:cs="Arial"/>
        </w:rPr>
        <w:br/>
      </w:r>
      <w:hyperlink r:id="rId54" w:anchor="ap40.13.63_12292.9" w:history="1">
        <w:r w:rsidRPr="000F387B">
          <w:rPr>
            <w:rFonts w:ascii="Arial" w:eastAsia="Times New Roman" w:hAnsi="Arial" w:cs="Arial"/>
            <w:color w:val="0000FF"/>
          </w:rPr>
          <w:t xml:space="preserve">Table 8 to Subpart DDDD of Part 63—Continuous Compliance With the Work Practice Requirements </w:t>
        </w:r>
      </w:hyperlink>
      <w:r w:rsidRPr="000F387B">
        <w:rPr>
          <w:rFonts w:ascii="Arial" w:eastAsia="Times New Roman" w:hAnsi="Arial" w:cs="Arial"/>
        </w:rPr>
        <w:br/>
      </w:r>
      <w:hyperlink r:id="rId55" w:anchor="ap40.13.63_12292.10" w:history="1">
        <w:r w:rsidRPr="000F387B">
          <w:rPr>
            <w:rFonts w:ascii="Arial" w:eastAsia="Times New Roman" w:hAnsi="Arial" w:cs="Arial"/>
            <w:color w:val="0000FF"/>
          </w:rPr>
          <w:t xml:space="preserve">Table 9 to Subpart DDDD of Part 63—Requirements for Reports </w:t>
        </w:r>
      </w:hyperlink>
      <w:r w:rsidRPr="000F387B">
        <w:rPr>
          <w:rFonts w:ascii="Arial" w:eastAsia="Times New Roman" w:hAnsi="Arial" w:cs="Arial"/>
        </w:rPr>
        <w:br/>
      </w:r>
      <w:hyperlink r:id="rId56" w:anchor="ap40.13.63_12292.11" w:history="1">
        <w:r w:rsidRPr="000F387B">
          <w:rPr>
            <w:rFonts w:ascii="Arial" w:eastAsia="Times New Roman" w:hAnsi="Arial" w:cs="Arial"/>
            <w:color w:val="0000FF"/>
          </w:rPr>
          <w:t xml:space="preserve">Table 10 to Subpart DDDD of Part 63—Applicability of General Provisions to Subpart DDDD </w:t>
        </w:r>
      </w:hyperlink>
      <w:r w:rsidRPr="000F387B">
        <w:rPr>
          <w:rFonts w:ascii="Arial" w:eastAsia="Times New Roman" w:hAnsi="Arial" w:cs="Arial"/>
        </w:rPr>
        <w:br/>
      </w:r>
      <w:hyperlink r:id="rId57" w:anchor="ap40.13.63_12292.a" w:history="1">
        <w:r w:rsidRPr="000F387B">
          <w:rPr>
            <w:rFonts w:ascii="Arial" w:eastAsia="Times New Roman" w:hAnsi="Arial" w:cs="Arial"/>
            <w:color w:val="0000FF"/>
          </w:rPr>
          <w:t xml:space="preserve">Appendix A to Subpart DDDD of Part 63—Alternative Procedure To Determine Capture Efficiency From Enclosures Around Hot Presses in the Plywood and Composite Wood Products Industry Using Sulfur Hexafluoride Tracer Gas </w:t>
        </w:r>
      </w:hyperlink>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pict>
          <v:rect id="_x0000_i1028" style="width:0;height:1.5pt" o:hrstd="t" o:hr="t" fillcolor="#a0a0a0" stroked="f"/>
        </w:pict>
      </w:r>
    </w:p>
    <w:p w:rsidR="000F387B" w:rsidRPr="000F387B" w:rsidRDefault="000F387B" w:rsidP="000F387B">
      <w:pPr>
        <w:spacing w:before="200" w:after="100" w:afterAutospacing="1" w:line="240" w:lineRule="auto"/>
        <w:rPr>
          <w:rFonts w:ascii="Arial" w:eastAsia="Times New Roman" w:hAnsi="Arial" w:cs="Arial"/>
        </w:rPr>
      </w:pPr>
      <w:hyperlink r:id="rId58" w:anchor="_top" w:history="1">
        <w:r w:rsidRPr="000F387B">
          <w:rPr>
            <w:rFonts w:ascii="Arial" w:eastAsia="Times New Roman" w:hAnsi="Arial" w:cs="Arial"/>
            <w:noProof/>
            <w:color w:val="0000FF"/>
          </w:rPr>
          <w:drawing>
            <wp:inline distT="0" distB="0" distL="0" distR="0">
              <wp:extent cx="152400" cy="152400"/>
              <wp:effectExtent l="0" t="0" r="0" b="0"/>
              <wp:docPr id="59" name="Picture 59"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1" w:name="sg40.13.63.dddd.sg34"/>
      <w:bookmarkEnd w:id="1"/>
      <w:r w:rsidRPr="000F387B">
        <w:rPr>
          <w:rFonts w:ascii="Arial" w:eastAsia="Times New Roman" w:hAnsi="Arial" w:cs="Arial"/>
          <w:b/>
          <w:bCs/>
          <w:smallCaps/>
        </w:rPr>
        <w:t>What This Subpart Covers</w:t>
      </w:r>
    </w:p>
    <w:p w:rsidR="000F387B" w:rsidRPr="000F387B" w:rsidRDefault="000F387B" w:rsidP="000F387B">
      <w:pPr>
        <w:spacing w:before="200" w:after="100" w:afterAutospacing="1" w:line="240" w:lineRule="auto"/>
        <w:ind w:firstLine="480"/>
        <w:rPr>
          <w:rFonts w:ascii="Arial" w:eastAsia="Times New Roman" w:hAnsi="Arial" w:cs="Arial"/>
        </w:rPr>
      </w:pPr>
      <w:r w:rsidRPr="000F387B">
        <w:rPr>
          <w:rFonts w:ascii="Arial" w:eastAsia="Times New Roman" w:hAnsi="Arial" w:cs="Arial"/>
          <w:smallCaps/>
        </w:rPr>
        <w:t>Source:</w:t>
      </w:r>
      <w:r w:rsidRPr="000F387B">
        <w:rPr>
          <w:rFonts w:ascii="Arial" w:eastAsia="Times New Roman" w:hAnsi="Arial" w:cs="Arial"/>
        </w:rPr>
        <w:t xml:space="preserve"> 69 FR 46011, July 30, 2004, unless otherwise noted. </w:t>
      </w:r>
    </w:p>
    <w:p w:rsidR="000F387B" w:rsidRPr="000F387B" w:rsidRDefault="000F387B" w:rsidP="000F387B">
      <w:pPr>
        <w:spacing w:before="200" w:after="100" w:afterAutospacing="1" w:line="240" w:lineRule="auto"/>
        <w:rPr>
          <w:rFonts w:ascii="Arial" w:eastAsia="Times New Roman" w:hAnsi="Arial" w:cs="Arial"/>
        </w:rPr>
      </w:pPr>
      <w:hyperlink r:id="rId61" w:anchor="_top" w:history="1">
        <w:r w:rsidRPr="000F387B">
          <w:rPr>
            <w:rFonts w:ascii="Arial" w:eastAsia="Times New Roman" w:hAnsi="Arial" w:cs="Arial"/>
            <w:noProof/>
            <w:color w:val="0000FF"/>
          </w:rPr>
          <w:drawing>
            <wp:inline distT="0" distB="0" distL="0" distR="0">
              <wp:extent cx="152400" cy="152400"/>
              <wp:effectExtent l="0" t="0" r="0" b="0"/>
              <wp:docPr id="58" name="Picture 5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 w:name="se40.13.63_12230"/>
      <w:bookmarkEnd w:id="2"/>
      <w:r w:rsidRPr="000F387B">
        <w:rPr>
          <w:rFonts w:ascii="Arial" w:eastAsia="Times New Roman" w:hAnsi="Arial" w:cs="Arial"/>
          <w:b/>
          <w:bCs/>
        </w:rPr>
        <w:t>§63.2230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is the purpose of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This subpart establishes national compliance options, operating requirements, and work practice requirements for hazardous air pollutants (HAP) emitted from plywood and composite wood products (PCWP) manufacturing facilities. This subpart also establishes requirements to demonstrate initial and continuous compliance with the compliance options, operating requirements, and work practice requirements. </w:t>
      </w:r>
    </w:p>
    <w:p w:rsidR="000F387B" w:rsidRPr="000F387B" w:rsidRDefault="000F387B" w:rsidP="000F387B">
      <w:pPr>
        <w:spacing w:before="200" w:after="100" w:afterAutospacing="1" w:line="240" w:lineRule="auto"/>
        <w:rPr>
          <w:rFonts w:ascii="Arial" w:eastAsia="Times New Roman" w:hAnsi="Arial" w:cs="Arial"/>
        </w:rPr>
      </w:pPr>
      <w:hyperlink r:id="rId62" w:anchor="_top" w:history="1">
        <w:r w:rsidRPr="000F387B">
          <w:rPr>
            <w:rFonts w:ascii="Arial" w:eastAsia="Times New Roman" w:hAnsi="Arial" w:cs="Arial"/>
            <w:noProof/>
            <w:color w:val="0000FF"/>
          </w:rPr>
          <w:drawing>
            <wp:inline distT="0" distB="0" distL="0" distR="0">
              <wp:extent cx="152400" cy="152400"/>
              <wp:effectExtent l="0" t="0" r="0" b="0"/>
              <wp:docPr id="57" name="Picture 5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 w:name="se40.13.63_12231"/>
      <w:bookmarkEnd w:id="3"/>
      <w:r w:rsidRPr="000F387B">
        <w:rPr>
          <w:rFonts w:ascii="Arial" w:eastAsia="Times New Roman" w:hAnsi="Arial" w:cs="Arial"/>
          <w:b/>
          <w:bCs/>
        </w:rPr>
        <w:t>§63.2231   Does this subpart apply to me?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This subpart applies to you if you meet the criteria in paragraphs (a) and (b)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(a) You own or operate a PCWP manufacturing facility. A PCWP manufacturing facility is a facility that manufactures plywood and/or composite wood products by bonding wood material (fibers, particles, strands, veneers, etc.) or agricultural fiber, generally with resin under heat and pressure, to form a structural panel or engineered wood product. Plywood and composite wood products manufacturing facilities also include facilities that manufacture dry veneer and lumber kilns located at any facility. Plywood and composite wood products include, but are not limited to, plywood, veneer, particleboard,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hardboard, fiberboard, medium density fiberboard, laminated strand lumber, laminated veneer lumber, wood I-joists, kiln-dried lumber, and glue-laminated beams.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The PCWP manufacturing facility is located at a major source of HAP emissions. A major source of HAP emissions is any stationary source or group of stationary sources within a contiguous area and under common control that emits or has the potential to emit any single HAP at a rate of 9.07 </w:t>
      </w:r>
      <w:proofErr w:type="spellStart"/>
      <w:r w:rsidRPr="000F387B">
        <w:rPr>
          <w:rFonts w:ascii="Arial" w:eastAsia="Times New Roman" w:hAnsi="Arial" w:cs="Arial"/>
        </w:rPr>
        <w:t>megagrams</w:t>
      </w:r>
      <w:proofErr w:type="spellEnd"/>
      <w:r w:rsidRPr="000F387B">
        <w:rPr>
          <w:rFonts w:ascii="Arial" w:eastAsia="Times New Roman" w:hAnsi="Arial" w:cs="Arial"/>
        </w:rPr>
        <w:t xml:space="preserve"> (10 tons) or more per year or any combination of HAP at a rate of 22.68 </w:t>
      </w:r>
      <w:proofErr w:type="spellStart"/>
      <w:r w:rsidRPr="000F387B">
        <w:rPr>
          <w:rFonts w:ascii="Arial" w:eastAsia="Times New Roman" w:hAnsi="Arial" w:cs="Arial"/>
        </w:rPr>
        <w:t>megagrams</w:t>
      </w:r>
      <w:proofErr w:type="spellEnd"/>
      <w:r w:rsidRPr="000F387B">
        <w:rPr>
          <w:rFonts w:ascii="Arial" w:eastAsia="Times New Roman" w:hAnsi="Arial" w:cs="Arial"/>
        </w:rPr>
        <w:t xml:space="preserve"> (25 tons) or more per year.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72 FR 61062, Oct. 29, 2007]</w:t>
      </w:r>
    </w:p>
    <w:p w:rsidR="000F387B" w:rsidRPr="000F387B" w:rsidRDefault="000F387B" w:rsidP="000F387B">
      <w:pPr>
        <w:spacing w:before="200" w:after="100" w:afterAutospacing="1" w:line="240" w:lineRule="auto"/>
        <w:rPr>
          <w:rFonts w:ascii="Arial" w:eastAsia="Times New Roman" w:hAnsi="Arial" w:cs="Arial"/>
        </w:rPr>
      </w:pPr>
      <w:hyperlink r:id="rId63" w:anchor="_top" w:history="1">
        <w:r w:rsidRPr="000F387B">
          <w:rPr>
            <w:rFonts w:ascii="Arial" w:eastAsia="Times New Roman" w:hAnsi="Arial" w:cs="Arial"/>
            <w:noProof/>
            <w:color w:val="0000FF"/>
          </w:rPr>
          <w:drawing>
            <wp:inline distT="0" distB="0" distL="0" distR="0">
              <wp:extent cx="152400" cy="152400"/>
              <wp:effectExtent l="0" t="0" r="0" b="0"/>
              <wp:docPr id="56" name="Picture 5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4" w:name="se40.13.63_12232"/>
      <w:bookmarkEnd w:id="4"/>
      <w:r w:rsidRPr="000F387B">
        <w:rPr>
          <w:rFonts w:ascii="Arial" w:eastAsia="Times New Roman" w:hAnsi="Arial" w:cs="Arial"/>
          <w:b/>
          <w:bCs/>
        </w:rPr>
        <w:t>§63.2232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parts of my plant does this subpart cover?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This subpart applies to each new, reconstructed, or existing affected source at a PCWP manufacturing facility.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The affected source is the collection of dryers, refiners, blenders, formers, presses, board coolers, and other process units associated with the manufacturing of plywood and composite wood products. The affected source includes, but is not limited to, green end operations, refining, drying operations (including any combustion unit exhaust stream routinely used to direct fire process unit(s)), resin preparation, blending and forming operations, pressing and board cooling operations, and miscellaneous finishing operations (such as sanding, sawing, patching, edge sealing, and other finishing operations not subject to other national emission standards for hazardous air pollutants (NESHAP)). The affected source also includes onsite storage and preparation of raw materials used in the manufacture of plywood and/or composite wood products, such as resins; onsite wastewater treatment operations specifically associated with plywood and composite wood products manufacturing; and miscellaneous coating operations (§63.2292). The affected source includes lumber kilns at PCWP manufacturing facilities and at any other kind of facility.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An affected source is a new affected source if you commenced construction of the affected source after January 9, 2003, and you meet the applicability criteria at the time you commenced construction.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An affected source is reconstructed if you meet the criteria as defined in §63.2.</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(e) An affected source is existing if it is not new or reconstructed.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8371, Feb. 16, 2006]</w:t>
      </w:r>
    </w:p>
    <w:p w:rsidR="000F387B" w:rsidRPr="000F387B" w:rsidRDefault="000F387B" w:rsidP="000F387B">
      <w:pPr>
        <w:spacing w:before="200" w:after="100" w:afterAutospacing="1" w:line="240" w:lineRule="auto"/>
        <w:rPr>
          <w:rFonts w:ascii="Arial" w:eastAsia="Times New Roman" w:hAnsi="Arial" w:cs="Arial"/>
        </w:rPr>
      </w:pPr>
      <w:hyperlink r:id="rId64" w:anchor="_top" w:history="1">
        <w:r w:rsidRPr="000F387B">
          <w:rPr>
            <w:rFonts w:ascii="Arial" w:eastAsia="Times New Roman" w:hAnsi="Arial" w:cs="Arial"/>
            <w:noProof/>
            <w:color w:val="0000FF"/>
          </w:rPr>
          <w:drawing>
            <wp:inline distT="0" distB="0" distL="0" distR="0">
              <wp:extent cx="152400" cy="152400"/>
              <wp:effectExtent l="0" t="0" r="0" b="0"/>
              <wp:docPr id="55" name="Picture 5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5" w:name="se40.13.63_12233"/>
      <w:bookmarkEnd w:id="5"/>
      <w:r w:rsidRPr="000F387B">
        <w:rPr>
          <w:rFonts w:ascii="Arial" w:eastAsia="Times New Roman" w:hAnsi="Arial" w:cs="Arial"/>
          <w:b/>
          <w:bCs/>
        </w:rPr>
        <w:t>§63.2233   When do I have to comply with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If you have a new or reconstructed affected source, you must comply with this subpart according to paragraph (a</w:t>
      </w:r>
      <w:proofErr w:type="gramStart"/>
      <w:r w:rsidRPr="000F387B">
        <w:rPr>
          <w:rFonts w:ascii="Arial" w:eastAsia="Times New Roman" w:hAnsi="Arial" w:cs="Arial"/>
        </w:rPr>
        <w:t>)(</w:t>
      </w:r>
      <w:proofErr w:type="gramEnd"/>
      <w:r w:rsidRPr="000F387B">
        <w:rPr>
          <w:rFonts w:ascii="Arial" w:eastAsia="Times New Roman" w:hAnsi="Arial" w:cs="Arial"/>
        </w:rPr>
        <w:t>1) or (2) of this section, whichever is applicable.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If the initial startup of your affected source is before September 28, 2004, then you must comply with the compliance options, operating requirements, and work practice requirements for new and reconstructed sources in this subpart no later than September 28, 2004.</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If the initial startup of your affected source is after September 28, 2004, then you must comply with the compliance options, operating requirements, and work practice requirements for new and reconstructed sources in this subpart upon initial startup of your affected source.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If you have an existing affected source, you must comply with the compliance options, operating requirements, and work practice requirements for existing sources no later than October 1, 2007.</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If you have an area source that increases its emissions or its potential to emit such that it becomes a major source of HAP, you must be in compliance with this subpart by October 1, 2007 or upon initial startup of your affected source as a major source, whichever is later.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(d) You must meet the notification requirements according to the schedule in §63.2280 and according to 40 CFR part 63, subpart A. Some of the notifications must be submitted before you are required to comply with the compliance options, operating requirements, and work practice requirements in this subpart.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8372, Feb. 16, 2006; 72 FR 61062, Oct. 29, 2007]</w:t>
      </w:r>
    </w:p>
    <w:p w:rsidR="000F387B" w:rsidRPr="000F387B" w:rsidRDefault="000F387B" w:rsidP="000F387B">
      <w:pPr>
        <w:spacing w:before="200" w:after="100" w:afterAutospacing="1" w:line="240" w:lineRule="auto"/>
        <w:rPr>
          <w:rFonts w:ascii="Arial" w:eastAsia="Times New Roman" w:hAnsi="Arial" w:cs="Arial"/>
        </w:rPr>
      </w:pPr>
      <w:hyperlink r:id="rId65" w:anchor="_top" w:history="1">
        <w:r w:rsidRPr="000F387B">
          <w:rPr>
            <w:rFonts w:ascii="Arial" w:eastAsia="Times New Roman" w:hAnsi="Arial" w:cs="Arial"/>
            <w:noProof/>
            <w:color w:val="0000FF"/>
          </w:rPr>
          <w:drawing>
            <wp:inline distT="0" distB="0" distL="0" distR="0">
              <wp:extent cx="152400" cy="152400"/>
              <wp:effectExtent l="0" t="0" r="0" b="0"/>
              <wp:docPr id="54" name="Picture 5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6" w:name="sg40.13.63_12233.sg35"/>
      <w:bookmarkEnd w:id="6"/>
      <w:r w:rsidRPr="000F387B">
        <w:rPr>
          <w:rFonts w:ascii="Arial" w:eastAsia="Times New Roman" w:hAnsi="Arial" w:cs="Arial"/>
          <w:b/>
          <w:bCs/>
          <w:smallCaps/>
        </w:rPr>
        <w:t>Compliance Options, Operating Requirements, and Work Practice Requirements</w:t>
      </w:r>
    </w:p>
    <w:p w:rsidR="000F387B" w:rsidRPr="000F387B" w:rsidRDefault="000F387B" w:rsidP="000F387B">
      <w:pPr>
        <w:spacing w:before="200" w:after="100" w:afterAutospacing="1" w:line="240" w:lineRule="auto"/>
        <w:rPr>
          <w:rFonts w:ascii="Arial" w:eastAsia="Times New Roman" w:hAnsi="Arial" w:cs="Arial"/>
        </w:rPr>
      </w:pPr>
      <w:hyperlink r:id="rId66" w:anchor="_top" w:history="1">
        <w:r w:rsidRPr="000F387B">
          <w:rPr>
            <w:rFonts w:ascii="Arial" w:eastAsia="Times New Roman" w:hAnsi="Arial" w:cs="Arial"/>
            <w:noProof/>
            <w:color w:val="0000FF"/>
          </w:rPr>
          <w:drawing>
            <wp:inline distT="0" distB="0" distL="0" distR="0">
              <wp:extent cx="152400" cy="152400"/>
              <wp:effectExtent l="0" t="0" r="0" b="0"/>
              <wp:docPr id="53" name="Picture 5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7" w:name="se40.13.63_12240"/>
      <w:bookmarkEnd w:id="7"/>
      <w:r w:rsidRPr="000F387B">
        <w:rPr>
          <w:rFonts w:ascii="Arial" w:eastAsia="Times New Roman" w:hAnsi="Arial" w:cs="Arial"/>
          <w:b/>
          <w:bCs/>
        </w:rPr>
        <w:t>§63.2240   What are the compliance options and operating requirements and how must I meet them?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You must meet the compliance options and operating requirements described in Tables 1A, 1B, and 2 to this subpart and in paragraph (c) of this section by using one or more of the compliance options listed in paragraphs (a), (b), and (c) of this section. The process units subject to the compliance options are listed in Tables 1A and 1B to this subpart and are defined in §63.2292. You need only to meet one of the compliance options outlined in paragraphs (a) through (c) of this section for each process unit. You cannot combine compliance options in paragraph (a), (b), or (c) for a single process unit. (For example, you cannot use a production-based compliance option in paragraph (a) for one vent of a veneer dryer and an add-on control system compliance option in paragraph (b) for another vent on the same veneer dryer. You must use either the production-based compliance option or an add-on control system compliance option for the entire dryer.)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(a) </w:t>
      </w:r>
      <w:r w:rsidRPr="000F387B">
        <w:rPr>
          <w:rFonts w:ascii="Arial" w:eastAsia="Times New Roman" w:hAnsi="Arial" w:cs="Arial"/>
          <w:i/>
          <w:iCs/>
        </w:rPr>
        <w:t>Production-based compliance options.</w:t>
      </w:r>
      <w:r w:rsidRPr="000F387B">
        <w:rPr>
          <w:rFonts w:ascii="Arial" w:eastAsia="Times New Roman" w:hAnsi="Arial" w:cs="Arial"/>
        </w:rPr>
        <w:t xml:space="preserve"> You must meet the production-based total HAP compliance options in Table 1A to this subpart and the applicable operating requirements in Table 2 to this subpart. You may not use an add-on control system or wet control device to meet the production-based compliance options.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w:t>
      </w:r>
      <w:r w:rsidRPr="000F387B">
        <w:rPr>
          <w:rFonts w:ascii="Arial" w:eastAsia="Times New Roman" w:hAnsi="Arial" w:cs="Arial"/>
          <w:i/>
          <w:iCs/>
        </w:rPr>
        <w:t>Compliance options for add-on control systems.</w:t>
      </w:r>
      <w:r w:rsidRPr="000F387B">
        <w:rPr>
          <w:rFonts w:ascii="Arial" w:eastAsia="Times New Roman" w:hAnsi="Arial" w:cs="Arial"/>
        </w:rPr>
        <w:t xml:space="preserve"> You must use an emissions control system and demonstrate that the resulting emissions meet the compliance options and operating requirements in Tables 1B and 2 to this subpart. If you own or operate a reconstituted wood product press at a new or existing affected source or a reconstituted wood product board cooler at a new affected source, and you choose to comply with one of the concentration-based compliance options for a control system outlet (presented as option numbers 2, 4, and 6 in Table 1B to this subpart), you must have a capture device that either meets the definition of wood products enclosure in §63.2292 or achieves a capture efficiency of greater than or equal to 95 percent.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w:t>
      </w:r>
      <w:r w:rsidRPr="000F387B">
        <w:rPr>
          <w:rFonts w:ascii="Arial" w:eastAsia="Times New Roman" w:hAnsi="Arial" w:cs="Arial"/>
          <w:i/>
          <w:iCs/>
        </w:rPr>
        <w:t>Emissions averaging compliance option (for existing sources only).</w:t>
      </w:r>
      <w:r w:rsidRPr="000F387B">
        <w:rPr>
          <w:rFonts w:ascii="Arial" w:eastAsia="Times New Roman" w:hAnsi="Arial" w:cs="Arial"/>
        </w:rPr>
        <w:t xml:space="preserve"> Using the procedures in paragraphs (c</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 you must demonstrate that emissions included in the emissions average meet the compliance options and operating requirements. New sources may not use emissions averaging to comply with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 </w:t>
      </w:r>
      <w:r w:rsidRPr="000F387B">
        <w:rPr>
          <w:rFonts w:ascii="Arial" w:eastAsia="Times New Roman" w:hAnsi="Arial" w:cs="Arial"/>
          <w:i/>
          <w:iCs/>
        </w:rPr>
        <w:t>Calculation of required and actual mass removal.</w:t>
      </w:r>
      <w:r w:rsidRPr="000F387B">
        <w:rPr>
          <w:rFonts w:ascii="Arial" w:eastAsia="Times New Roman" w:hAnsi="Arial" w:cs="Arial"/>
        </w:rPr>
        <w:t xml:space="preserve"> Limit emissions of total HAP, as defined in §63.2292, to include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 xml:space="preserve"> from your affected source to the standard specified by Equations 1, 2, and 3 of this section.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2609850" cy="457200"/>
            <wp:effectExtent l="0" t="0" r="0" b="0"/>
            <wp:docPr id="52" name="Picture 52" descr="eCFR graphic er72ad04.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72ad04.000.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609850" cy="45720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68" w:history="1">
        <w:r w:rsidRPr="000F387B">
          <w:rPr>
            <w:rFonts w:ascii="Arial" w:eastAsia="Times New Roman" w:hAnsi="Arial" w:cs="Arial"/>
            <w:color w:val="0000FF"/>
          </w:rPr>
          <w:t>View or download PDF</w:t>
        </w:r>
      </w:hyperlink>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noProof/>
        </w:rPr>
        <w:drawing>
          <wp:inline distT="0" distB="0" distL="0" distR="0">
            <wp:extent cx="2609850" cy="457200"/>
            <wp:effectExtent l="0" t="0" r="0" b="0"/>
            <wp:docPr id="51" name="Picture 51" descr="eCFR graphic er72ad04.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72ad04.001.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2609850" cy="45720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70" w:history="1">
        <w:r w:rsidRPr="000F387B">
          <w:rPr>
            <w:rFonts w:ascii="Arial" w:eastAsia="Times New Roman" w:hAnsi="Arial" w:cs="Arial"/>
            <w:color w:val="0000FF"/>
          </w:rPr>
          <w:t>View or download PDF</w:t>
        </w:r>
      </w:hyperlink>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noProof/>
        </w:rPr>
        <w:drawing>
          <wp:inline distT="0" distB="0" distL="0" distR="0">
            <wp:extent cx="1574800" cy="203200"/>
            <wp:effectExtent l="0" t="0" r="6350" b="6350"/>
            <wp:docPr id="50" name="Picture 50" descr="eCFR graphic er72ad04.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72ad04.002.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574800" cy="20320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72"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RMR = required mass removal of total HAP from all process units generating debits (</w:t>
      </w:r>
      <w:r w:rsidRPr="000F387B">
        <w:rPr>
          <w:rFonts w:ascii="Arial" w:eastAsia="Times New Roman" w:hAnsi="Arial" w:cs="Arial"/>
          <w:i/>
          <w:iCs/>
        </w:rPr>
        <w:t>i.e.,</w:t>
      </w:r>
      <w:r w:rsidRPr="000F387B">
        <w:rPr>
          <w:rFonts w:ascii="Arial" w:eastAsia="Times New Roman" w:hAnsi="Arial" w:cs="Arial"/>
        </w:rPr>
        <w:t xml:space="preserve"> all process units that are subject to the compliance options in Tables 1A and 1B to this subpart and that are either uncontrolled or under-controlled), pounds per semiannual period;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AMR = actual mass removal of total HAP from all process units generating credits (</w:t>
      </w:r>
      <w:r w:rsidRPr="000F387B">
        <w:rPr>
          <w:rFonts w:ascii="Arial" w:eastAsia="Times New Roman" w:hAnsi="Arial" w:cs="Arial"/>
          <w:i/>
          <w:iCs/>
        </w:rPr>
        <w:t>i.e.,</w:t>
      </w:r>
      <w:r w:rsidRPr="000F387B">
        <w:rPr>
          <w:rFonts w:ascii="Arial" w:eastAsia="Times New Roman" w:hAnsi="Arial" w:cs="Arial"/>
        </w:rPr>
        <w:t xml:space="preserve"> all process units that are controlled as part of the Emissions Averaging Plan including credits from debit-generating process units that are under-controlled), pounds per semiannual period;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UCEP</w:t>
      </w:r>
      <w:r w:rsidRPr="000F387B">
        <w:rPr>
          <w:rFonts w:ascii="Arial" w:eastAsia="Times New Roman" w:hAnsi="Arial" w:cs="Arial"/>
          <w:vertAlign w:val="subscript"/>
        </w:rPr>
        <w:t>i</w:t>
      </w:r>
      <w:proofErr w:type="spellEnd"/>
      <w:r w:rsidRPr="000F387B">
        <w:rPr>
          <w:rFonts w:ascii="Arial" w:eastAsia="Times New Roman" w:hAnsi="Arial" w:cs="Arial"/>
        </w:rPr>
        <w:t xml:space="preserve"> = mass of total HAP from an uncontrolled or under-controlled process unit (</w:t>
      </w:r>
      <w:proofErr w:type="spellStart"/>
      <w:r w:rsidRPr="000F387B">
        <w:rPr>
          <w:rFonts w:ascii="Arial" w:eastAsia="Times New Roman" w:hAnsi="Arial" w:cs="Arial"/>
        </w:rPr>
        <w:t>i</w:t>
      </w:r>
      <w:proofErr w:type="spellEnd"/>
      <w:r w:rsidRPr="000F387B">
        <w:rPr>
          <w:rFonts w:ascii="Arial" w:eastAsia="Times New Roman" w:hAnsi="Arial" w:cs="Arial"/>
        </w:rPr>
        <w:t xml:space="preserve">) that generates debits, pounds per hour;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OH</w:t>
      </w:r>
      <w:r w:rsidRPr="000F387B">
        <w:rPr>
          <w:rFonts w:ascii="Arial" w:eastAsia="Times New Roman" w:hAnsi="Arial" w:cs="Arial"/>
          <w:vertAlign w:val="subscript"/>
        </w:rPr>
        <w:t>i</w:t>
      </w:r>
      <w:proofErr w:type="spellEnd"/>
      <w:r w:rsidRPr="000F387B">
        <w:rPr>
          <w:rFonts w:ascii="Arial" w:eastAsia="Times New Roman" w:hAnsi="Arial" w:cs="Arial"/>
        </w:rPr>
        <w:t xml:space="preserve"> = number of hours a process unit (</w:t>
      </w:r>
      <w:proofErr w:type="spellStart"/>
      <w:r w:rsidRPr="000F387B">
        <w:rPr>
          <w:rFonts w:ascii="Arial" w:eastAsia="Times New Roman" w:hAnsi="Arial" w:cs="Arial"/>
        </w:rPr>
        <w:t>i</w:t>
      </w:r>
      <w:proofErr w:type="spellEnd"/>
      <w:r w:rsidRPr="000F387B">
        <w:rPr>
          <w:rFonts w:ascii="Arial" w:eastAsia="Times New Roman" w:hAnsi="Arial" w:cs="Arial"/>
        </w:rPr>
        <w:t xml:space="preserve">) is operated during the semiannual period, hours per 6-month period;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CD</w:t>
      </w:r>
      <w:r w:rsidRPr="000F387B">
        <w:rPr>
          <w:rFonts w:ascii="Arial" w:eastAsia="Times New Roman" w:hAnsi="Arial" w:cs="Arial"/>
          <w:vertAlign w:val="subscript"/>
        </w:rPr>
        <w:t>i</w:t>
      </w:r>
      <w:proofErr w:type="spellEnd"/>
      <w:r w:rsidRPr="000F387B">
        <w:rPr>
          <w:rFonts w:ascii="Arial" w:eastAsia="Times New Roman" w:hAnsi="Arial" w:cs="Arial"/>
        </w:rPr>
        <w:t xml:space="preserve"> = control system efficiency for the emission point (</w:t>
      </w:r>
      <w:proofErr w:type="spellStart"/>
      <w:r w:rsidRPr="000F387B">
        <w:rPr>
          <w:rFonts w:ascii="Arial" w:eastAsia="Times New Roman" w:hAnsi="Arial" w:cs="Arial"/>
        </w:rPr>
        <w:t>i</w:t>
      </w:r>
      <w:proofErr w:type="spellEnd"/>
      <w:r w:rsidRPr="000F387B">
        <w:rPr>
          <w:rFonts w:ascii="Arial" w:eastAsia="Times New Roman" w:hAnsi="Arial" w:cs="Arial"/>
        </w:rPr>
        <w:t xml:space="preserve">) for total HAP, expressed as a fraction, and not to exceed 90 percent, </w:t>
      </w:r>
      <w:proofErr w:type="spellStart"/>
      <w:r w:rsidRPr="000F387B">
        <w:rPr>
          <w:rFonts w:ascii="Arial" w:eastAsia="Times New Roman" w:hAnsi="Arial" w:cs="Arial"/>
        </w:rPr>
        <w:t>unitless</w:t>
      </w:r>
      <w:proofErr w:type="spellEnd"/>
      <w:r w:rsidRPr="000F387B">
        <w:rPr>
          <w:rFonts w:ascii="Arial" w:eastAsia="Times New Roman" w:hAnsi="Arial" w:cs="Arial"/>
        </w:rPr>
        <w:t xml:space="preserve"> (Note: To calculate the control system efficiency of biological treatment units that do not meet the definition of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in §63.2292, you must use 40 CFR part 63, appendix C, Determination of the Fraction Biodegraded (</w:t>
      </w:r>
      <w:proofErr w:type="spellStart"/>
      <w:r w:rsidRPr="000F387B">
        <w:rPr>
          <w:rFonts w:ascii="Arial" w:eastAsia="Times New Roman" w:hAnsi="Arial" w:cs="Arial"/>
        </w:rPr>
        <w:t>F</w:t>
      </w:r>
      <w:r w:rsidRPr="000F387B">
        <w:rPr>
          <w:rFonts w:ascii="Arial" w:eastAsia="Times New Roman" w:hAnsi="Arial" w:cs="Arial"/>
          <w:vertAlign w:val="subscript"/>
        </w:rPr>
        <w:t>bio</w:t>
      </w:r>
      <w:proofErr w:type="spellEnd"/>
      <w:r w:rsidRPr="000F387B">
        <w:rPr>
          <w:rFonts w:ascii="Arial" w:eastAsia="Times New Roman" w:hAnsi="Arial" w:cs="Arial"/>
        </w:rPr>
        <w:t xml:space="preserve">) in a Biological Treatment Unit.);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OCEP</w:t>
      </w:r>
      <w:r w:rsidRPr="000F387B">
        <w:rPr>
          <w:rFonts w:ascii="Arial" w:eastAsia="Times New Roman" w:hAnsi="Arial" w:cs="Arial"/>
          <w:vertAlign w:val="subscript"/>
        </w:rPr>
        <w:t>i</w:t>
      </w:r>
      <w:proofErr w:type="spellEnd"/>
      <w:r w:rsidRPr="000F387B">
        <w:rPr>
          <w:rFonts w:ascii="Arial" w:eastAsia="Times New Roman" w:hAnsi="Arial" w:cs="Arial"/>
        </w:rPr>
        <w:t xml:space="preserve"> = mass of total HAP from a process unit (</w:t>
      </w:r>
      <w:proofErr w:type="spellStart"/>
      <w:r w:rsidRPr="000F387B">
        <w:rPr>
          <w:rFonts w:ascii="Arial" w:eastAsia="Times New Roman" w:hAnsi="Arial" w:cs="Arial"/>
        </w:rPr>
        <w:t>i</w:t>
      </w:r>
      <w:proofErr w:type="spellEnd"/>
      <w:r w:rsidRPr="000F387B">
        <w:rPr>
          <w:rFonts w:ascii="Arial" w:eastAsia="Times New Roman" w:hAnsi="Arial" w:cs="Arial"/>
        </w:rPr>
        <w:t xml:space="preserve">) that generates credits (including credits from debit-generating process units that are under-controlled), pounds per hour;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0.90 = required control system efficiency of 90 percent multiplied, </w:t>
      </w:r>
      <w:proofErr w:type="spellStart"/>
      <w:r w:rsidRPr="000F387B">
        <w:rPr>
          <w:rFonts w:ascii="Arial" w:eastAsia="Times New Roman" w:hAnsi="Arial" w:cs="Arial"/>
        </w:rPr>
        <w:t>unitless</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(2) </w:t>
      </w:r>
      <w:r w:rsidRPr="000F387B">
        <w:rPr>
          <w:rFonts w:ascii="Arial" w:eastAsia="Times New Roman" w:hAnsi="Arial" w:cs="Arial"/>
          <w:i/>
          <w:iCs/>
        </w:rPr>
        <w:t>Requirements for debits and credits.</w:t>
      </w:r>
      <w:r w:rsidRPr="000F387B">
        <w:rPr>
          <w:rFonts w:ascii="Arial" w:eastAsia="Times New Roman" w:hAnsi="Arial" w:cs="Arial"/>
        </w:rPr>
        <w:t xml:space="preserve"> You must calculate debits and credits as specified in paragraphs (c</w:t>
      </w:r>
      <w:proofErr w:type="gramStart"/>
      <w:r w:rsidRPr="000F387B">
        <w:rPr>
          <w:rFonts w:ascii="Arial" w:eastAsia="Times New Roman" w:hAnsi="Arial" w:cs="Arial"/>
        </w:rPr>
        <w:t>)(</w:t>
      </w:r>
      <w:proofErr w:type="gramEnd"/>
      <w:r w:rsidRPr="000F387B">
        <w:rPr>
          <w:rFonts w:ascii="Arial" w:eastAsia="Times New Roman" w:hAnsi="Arial" w:cs="Arial"/>
        </w:rPr>
        <w:t>2)(</w:t>
      </w:r>
      <w:proofErr w:type="spellStart"/>
      <w:r w:rsidRPr="000F387B">
        <w:rPr>
          <w:rFonts w:ascii="Arial" w:eastAsia="Times New Roman" w:hAnsi="Arial" w:cs="Arial"/>
        </w:rPr>
        <w:t>i</w:t>
      </w:r>
      <w:proofErr w:type="spellEnd"/>
      <w:r w:rsidRPr="000F387B">
        <w:rPr>
          <w:rFonts w:ascii="Arial" w:eastAsia="Times New Roman" w:hAnsi="Arial" w:cs="Arial"/>
        </w:rPr>
        <w:t>) through (vi)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w:t>
      </w:r>
      <w:proofErr w:type="spellStart"/>
      <w:r w:rsidRPr="000F387B">
        <w:rPr>
          <w:rFonts w:ascii="Arial" w:eastAsia="Times New Roman" w:hAnsi="Arial" w:cs="Arial"/>
        </w:rPr>
        <w:t>i</w:t>
      </w:r>
      <w:proofErr w:type="spellEnd"/>
      <w:r w:rsidRPr="000F387B">
        <w:rPr>
          <w:rFonts w:ascii="Arial" w:eastAsia="Times New Roman" w:hAnsi="Arial" w:cs="Arial"/>
        </w:rPr>
        <w:t>) You must limit process units in the emissions average to those process units located at the existing affected source as defined in §63.2292.</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(ii) You cannot use </w:t>
      </w:r>
      <w:proofErr w:type="spellStart"/>
      <w:r w:rsidRPr="000F387B">
        <w:rPr>
          <w:rFonts w:ascii="Arial" w:eastAsia="Times New Roman" w:hAnsi="Arial" w:cs="Arial"/>
        </w:rPr>
        <w:t>nonoperating</w:t>
      </w:r>
      <w:proofErr w:type="spellEnd"/>
      <w:r w:rsidRPr="000F387B">
        <w:rPr>
          <w:rFonts w:ascii="Arial" w:eastAsia="Times New Roman" w:hAnsi="Arial" w:cs="Arial"/>
        </w:rPr>
        <w:t xml:space="preserve"> process units to generate emissions averaging credits. You cannot use process units that are shut down to generate emissions averaging debits or credits.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(iii) You may not include in your emissions average process units controlled to comply with a State, Tribal, or Federal rule other than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gramStart"/>
      <w:r w:rsidRPr="000F387B">
        <w:rPr>
          <w:rFonts w:ascii="Arial" w:eastAsia="Times New Roman" w:hAnsi="Arial" w:cs="Arial"/>
        </w:rPr>
        <w:t>(iv) You</w:t>
      </w:r>
      <w:proofErr w:type="gramEnd"/>
      <w:r w:rsidRPr="000F387B">
        <w:rPr>
          <w:rFonts w:ascii="Arial" w:eastAsia="Times New Roman" w:hAnsi="Arial" w:cs="Arial"/>
        </w:rPr>
        <w:t xml:space="preserve"> must use actual measurements of total HAP emissions from process units to calculate your required mass removal (RMR) and actual mass removal (AMR). The total HAP measurements must be obtained according to §63.2262(b) through (d), (g), and (h), using the methods specified in Table 4 to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(v) Your initial demonstration that the credit-generating process units will be capable of generating enough credits to offset the debits from the debit-generating process units must be made under representative operating conditions. After the compliance date, you must use actual operating data for all debit and credit calculations.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gramStart"/>
      <w:r w:rsidRPr="000F387B">
        <w:rPr>
          <w:rFonts w:ascii="Arial" w:eastAsia="Times New Roman" w:hAnsi="Arial" w:cs="Arial"/>
        </w:rPr>
        <w:t>(vi) Do</w:t>
      </w:r>
      <w:proofErr w:type="gramEnd"/>
      <w:r w:rsidRPr="000F387B">
        <w:rPr>
          <w:rFonts w:ascii="Arial" w:eastAsia="Times New Roman" w:hAnsi="Arial" w:cs="Arial"/>
        </w:rPr>
        <w:t xml:space="preserve"> not include emissions from the following time periods in your emissions averaging calculations: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Emissions during periods of startup, shutdown, and malfunction as described in the startup, shutdown, and malfunction plan (SSMP).</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Emissions during periods of monitoring malfunctions, associated repairs, and required quality assurance or control activities or during periods of control device maintenance covered in your routine control device maintenance exemption. No credits may be assigned to credit-generating process units, and maximum debits must be assigned to debit-generating process units during these periods.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(3) </w:t>
      </w:r>
      <w:r w:rsidRPr="000F387B">
        <w:rPr>
          <w:rFonts w:ascii="Arial" w:eastAsia="Times New Roman" w:hAnsi="Arial" w:cs="Arial"/>
          <w:i/>
          <w:iCs/>
        </w:rPr>
        <w:t>Operating requirements.</w:t>
      </w:r>
      <w:r w:rsidRPr="000F387B">
        <w:rPr>
          <w:rFonts w:ascii="Arial" w:eastAsia="Times New Roman" w:hAnsi="Arial" w:cs="Arial"/>
        </w:rPr>
        <w:t xml:space="preserve"> You must meet the operating requirements in Table 2 to this subpart for each process unit or control device used in calculation of emissions averaging credits. </w:t>
      </w:r>
    </w:p>
    <w:p w:rsidR="000F387B" w:rsidRPr="000F387B" w:rsidRDefault="000F387B" w:rsidP="000F387B">
      <w:pPr>
        <w:spacing w:before="200" w:after="100" w:afterAutospacing="1" w:line="240" w:lineRule="auto"/>
        <w:rPr>
          <w:rFonts w:ascii="Arial" w:eastAsia="Times New Roman" w:hAnsi="Arial" w:cs="Arial"/>
        </w:rPr>
      </w:pPr>
      <w:hyperlink r:id="rId73" w:anchor="_top" w:history="1">
        <w:r w:rsidRPr="000F387B">
          <w:rPr>
            <w:rFonts w:ascii="Arial" w:eastAsia="Times New Roman" w:hAnsi="Arial" w:cs="Arial"/>
            <w:noProof/>
            <w:color w:val="0000FF"/>
          </w:rPr>
          <w:drawing>
            <wp:inline distT="0" distB="0" distL="0" distR="0">
              <wp:extent cx="152400" cy="152400"/>
              <wp:effectExtent l="0" t="0" r="0" b="0"/>
              <wp:docPr id="49" name="Picture 49"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8" w:name="se40.13.63_12241"/>
      <w:bookmarkEnd w:id="8"/>
      <w:r w:rsidRPr="000F387B">
        <w:rPr>
          <w:rFonts w:ascii="Arial" w:eastAsia="Times New Roman" w:hAnsi="Arial" w:cs="Arial"/>
          <w:b/>
          <w:bCs/>
        </w:rPr>
        <w:t>§63.2241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are the work practice requirements and how must I meet them?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meet each work practice requirement in Table 3 to this subpart that applies to you.</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As provided in §63.6(g), we, the EPA, may choose to grant you permission to use an alternative to the work practice requirements in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If you have a dry rotary dryer, you may choose to designate your dry rotary dryer as a green rotary dryer and meet the more stringent compliance options and operating requirements in §63.2240 for green rotary dryers instead of the work practices for dry rotary dryers. If you have a hardwood veneer dryer or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you may choose to designate your hardwood veneer dryer or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as a softwood veneer dryer and meet the more stringent compliance options and operating requirements in §63.2240 for softwood veneer dryer heated zones instead of the work practices for hardwood veneer dryers or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w:t>
      </w:r>
    </w:p>
    <w:p w:rsidR="000F387B" w:rsidRPr="000F387B" w:rsidRDefault="000F387B" w:rsidP="000F387B">
      <w:pPr>
        <w:spacing w:before="200" w:after="100" w:afterAutospacing="1" w:line="240" w:lineRule="auto"/>
        <w:rPr>
          <w:rFonts w:ascii="Arial" w:eastAsia="Times New Roman" w:hAnsi="Arial" w:cs="Arial"/>
        </w:rPr>
      </w:pPr>
      <w:hyperlink r:id="rId74" w:anchor="_top" w:history="1">
        <w:r w:rsidRPr="000F387B">
          <w:rPr>
            <w:rFonts w:ascii="Arial" w:eastAsia="Times New Roman" w:hAnsi="Arial" w:cs="Arial"/>
            <w:noProof/>
            <w:color w:val="0000FF"/>
          </w:rPr>
          <w:drawing>
            <wp:inline distT="0" distB="0" distL="0" distR="0">
              <wp:extent cx="152400" cy="152400"/>
              <wp:effectExtent l="0" t="0" r="0" b="0"/>
              <wp:docPr id="48" name="Picture 4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9" w:name="sg40.13.63_12241.sg36"/>
      <w:bookmarkEnd w:id="9"/>
      <w:r w:rsidRPr="000F387B">
        <w:rPr>
          <w:rFonts w:ascii="Arial" w:eastAsia="Times New Roman" w:hAnsi="Arial" w:cs="Arial"/>
          <w:b/>
          <w:bCs/>
          <w:smallCaps/>
        </w:rPr>
        <w:t>General Compliance Requirements</w:t>
      </w:r>
    </w:p>
    <w:p w:rsidR="000F387B" w:rsidRPr="000F387B" w:rsidRDefault="000F387B" w:rsidP="000F387B">
      <w:pPr>
        <w:spacing w:before="200" w:after="100" w:afterAutospacing="1" w:line="240" w:lineRule="auto"/>
        <w:rPr>
          <w:rFonts w:ascii="Arial" w:eastAsia="Times New Roman" w:hAnsi="Arial" w:cs="Arial"/>
        </w:rPr>
      </w:pPr>
      <w:hyperlink r:id="rId75" w:anchor="_top" w:history="1">
        <w:r w:rsidRPr="000F387B">
          <w:rPr>
            <w:rFonts w:ascii="Arial" w:eastAsia="Times New Roman" w:hAnsi="Arial" w:cs="Arial"/>
            <w:noProof/>
            <w:color w:val="0000FF"/>
          </w:rPr>
          <w:drawing>
            <wp:inline distT="0" distB="0" distL="0" distR="0">
              <wp:extent cx="152400" cy="152400"/>
              <wp:effectExtent l="0" t="0" r="0" b="0"/>
              <wp:docPr id="47" name="Picture 4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0" w:name="se40.13.63_12250"/>
      <w:bookmarkEnd w:id="10"/>
      <w:r w:rsidRPr="000F387B">
        <w:rPr>
          <w:rFonts w:ascii="Arial" w:eastAsia="Times New Roman" w:hAnsi="Arial" w:cs="Arial"/>
          <w:b/>
          <w:bCs/>
        </w:rPr>
        <w:t>§63.2250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are the general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be in compliance with the compliance options, operating requirements, and the work practice requirements in this subpart at all times, except during periods of process unit or control device startup, shutdown, and malfunction; prior to process unit initial startup; and during the routine control device maintenance exemption specified in §63.2251. The compliance options, operating requirements, and work practice requirements do not apply during times when the process unit(s) subject to the compliance options, operating requirements, and work practice requirements are not operating, or during periods of startup, shutdown, and malfunction. Startup and shutdown periods must not exceed the minimum amount of time necessary for these events.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You must always operate and maintain your affected source, including air pollution control and monitoring equipment, according to the provisions in §63.6(e</w:t>
      </w:r>
      <w:proofErr w:type="gramStart"/>
      <w:r w:rsidRPr="000F387B">
        <w:rPr>
          <w:rFonts w:ascii="Arial" w:eastAsia="Times New Roman" w:hAnsi="Arial" w:cs="Arial"/>
        </w:rPr>
        <w:t>)(</w:t>
      </w:r>
      <w:proofErr w:type="gramEnd"/>
      <w:r w:rsidRPr="000F387B">
        <w:rPr>
          <w:rFonts w:ascii="Arial" w:eastAsia="Times New Roman" w:hAnsi="Arial" w:cs="Arial"/>
        </w:rPr>
        <w:t>1)(</w:t>
      </w:r>
      <w:proofErr w:type="spellStart"/>
      <w:r w:rsidRPr="000F387B">
        <w:rPr>
          <w:rFonts w:ascii="Arial" w:eastAsia="Times New Roman" w:hAnsi="Arial" w:cs="Arial"/>
        </w:rPr>
        <w:t>i</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You must develop a written SSMP according to the provisions in §63.6(e</w:t>
      </w:r>
      <w:proofErr w:type="gramStart"/>
      <w:r w:rsidRPr="000F387B">
        <w:rPr>
          <w:rFonts w:ascii="Arial" w:eastAsia="Times New Roman" w:hAnsi="Arial" w:cs="Arial"/>
        </w:rPr>
        <w:t>)(</w:t>
      </w:r>
      <w:proofErr w:type="gramEnd"/>
      <w:r w:rsidRPr="000F387B">
        <w:rPr>
          <w:rFonts w:ascii="Arial" w:eastAsia="Times New Roman" w:hAnsi="Arial" w:cs="Arial"/>
        </w:rPr>
        <w:t>3).</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(d) Shutoff of direct-fired burners resulting from partial and full production stoppages of direct-fired softwood veneer dryers or over-temperature events shall be deemed shutdowns and not malfunctions. Lighting or re-lighting any one or all gas burners in direct-fired softwood veneer dryers shall be deemed startups and not malfunctions.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8372, Feb. 16, 2006; 71 FR 20463, Apr. 20, 2006]</w:t>
      </w:r>
    </w:p>
    <w:p w:rsidR="000F387B" w:rsidRPr="000F387B" w:rsidRDefault="000F387B" w:rsidP="000F387B">
      <w:pPr>
        <w:spacing w:before="200" w:after="100" w:afterAutospacing="1" w:line="240" w:lineRule="auto"/>
        <w:rPr>
          <w:rFonts w:ascii="Arial" w:eastAsia="Times New Roman" w:hAnsi="Arial" w:cs="Arial"/>
        </w:rPr>
      </w:pPr>
      <w:hyperlink r:id="rId76" w:anchor="_top" w:history="1">
        <w:r w:rsidRPr="000F387B">
          <w:rPr>
            <w:rFonts w:ascii="Arial" w:eastAsia="Times New Roman" w:hAnsi="Arial" w:cs="Arial"/>
            <w:noProof/>
            <w:color w:val="0000FF"/>
          </w:rPr>
          <w:drawing>
            <wp:inline distT="0" distB="0" distL="0" distR="0">
              <wp:extent cx="152400" cy="152400"/>
              <wp:effectExtent l="0" t="0" r="0" b="0"/>
              <wp:docPr id="46" name="Picture 4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1" w:name="se40.13.63_12251"/>
      <w:bookmarkEnd w:id="11"/>
      <w:r w:rsidRPr="000F387B">
        <w:rPr>
          <w:rFonts w:ascii="Arial" w:eastAsia="Times New Roman" w:hAnsi="Arial" w:cs="Arial"/>
          <w:b/>
          <w:bCs/>
        </w:rPr>
        <w:t>§63.2251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are the requirements for the routine control device maintenance exemption?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(a) You may request a routine control device maintenance exemption from the EPA Administrator for routine maintenance events such as control device </w:t>
      </w:r>
      <w:proofErr w:type="spellStart"/>
      <w:r w:rsidRPr="000F387B">
        <w:rPr>
          <w:rFonts w:ascii="Arial" w:eastAsia="Times New Roman" w:hAnsi="Arial" w:cs="Arial"/>
        </w:rPr>
        <w:t>bakeouts</w:t>
      </w:r>
      <w:proofErr w:type="spellEnd"/>
      <w:r w:rsidRPr="000F387B">
        <w:rPr>
          <w:rFonts w:ascii="Arial" w:eastAsia="Times New Roman" w:hAnsi="Arial" w:cs="Arial"/>
        </w:rPr>
        <w:t>, washouts, media replacement, and replacement of corroded parts. Your request must justify the need for the routine maintenance on the control device and the time required to accomplish the maintenance activities, describe the maintenance activities and the frequency of the maintenance activities, explain why the maintenance cannot be accomplished during process shutdowns, describe how you plan to make reasonable efforts to minimize emissions during the maintenance, and provide any other documentation required by the EPA Administrator.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The routine control device maintenance exemption must not exceed the percentages of process unit operating uptime in paragraphs (b</w:t>
      </w:r>
      <w:proofErr w:type="gramStart"/>
      <w:r w:rsidRPr="000F387B">
        <w:rPr>
          <w:rFonts w:ascii="Arial" w:eastAsia="Times New Roman" w:hAnsi="Arial" w:cs="Arial"/>
        </w:rPr>
        <w:t>)(</w:t>
      </w:r>
      <w:proofErr w:type="gramEnd"/>
      <w:r w:rsidRPr="000F387B">
        <w:rPr>
          <w:rFonts w:ascii="Arial" w:eastAsia="Times New Roman" w:hAnsi="Arial" w:cs="Arial"/>
        </w:rPr>
        <w:t>1) and (2)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If the control device is used to control a green rotary dryer, tube dryer, rotary strand dryer, or pressurized refiner, then the routine control device maintenance exemption must not exceed 3 percent of annual operating uptime for each process unit controlled.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(2) If the control device is used to control a softwood veneer dryer, reconstituted wood product press, reconstituted wood product board cooler, hardboard oven, press </w:t>
      </w:r>
      <w:proofErr w:type="spellStart"/>
      <w:r w:rsidRPr="000F387B">
        <w:rPr>
          <w:rFonts w:ascii="Arial" w:eastAsia="Times New Roman" w:hAnsi="Arial" w:cs="Arial"/>
        </w:rPr>
        <w:t>predryer</w:t>
      </w:r>
      <w:proofErr w:type="spellEnd"/>
      <w:r w:rsidRPr="000F387B">
        <w:rPr>
          <w:rFonts w:ascii="Arial" w:eastAsia="Times New Roman" w:hAnsi="Arial" w:cs="Arial"/>
        </w:rPr>
        <w:t>, conveyor strand dryer, or fiberboard mat dryer, then the routine control device maintenance exemption must not exceed 0.5 percent of annual operating uptime for each process unit controlled.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If the control device is used to control a combination of equipment listed in both paragraphs (b)(1) and (2) of this section, such as a tube dryer and a reconstituted wood product press, then the routine control device maintenance exemption must not exceed 3 percent of annual operating uptime for each process unit controlled.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The request for the routine control device maintenance exemption, if approved by the EPA Administrator, must be IBR in and attached to the affected source's title V permit.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The compliance options and operating requirements do not apply during times when control device maintenance covered under your approved routine control device maintenance exemption is performed. You must minimize emissions to the greatest extent possible during these routine control device maintenance periods.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(e) To the extent practical, startup and shutdown of emission control systems must be scheduled during times when process equipment is also shut down. </w:t>
      </w:r>
    </w:p>
    <w:p w:rsidR="000F387B" w:rsidRPr="000F387B" w:rsidRDefault="000F387B" w:rsidP="000F387B">
      <w:pPr>
        <w:spacing w:before="200" w:after="100" w:afterAutospacing="1" w:line="240" w:lineRule="auto"/>
        <w:rPr>
          <w:rFonts w:ascii="Arial" w:eastAsia="Times New Roman" w:hAnsi="Arial" w:cs="Arial"/>
        </w:rPr>
      </w:pPr>
      <w:hyperlink r:id="rId77" w:anchor="_top" w:history="1">
        <w:r w:rsidRPr="000F387B">
          <w:rPr>
            <w:rFonts w:ascii="Arial" w:eastAsia="Times New Roman" w:hAnsi="Arial" w:cs="Arial"/>
            <w:noProof/>
            <w:color w:val="0000FF"/>
          </w:rPr>
          <w:drawing>
            <wp:inline distT="0" distB="0" distL="0" distR="0">
              <wp:extent cx="152400" cy="152400"/>
              <wp:effectExtent l="0" t="0" r="0" b="0"/>
              <wp:docPr id="45" name="Picture 4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2" w:name="se40.13.63_12252"/>
      <w:bookmarkEnd w:id="12"/>
      <w:r w:rsidRPr="000F387B">
        <w:rPr>
          <w:rFonts w:ascii="Arial" w:eastAsia="Times New Roman" w:hAnsi="Arial" w:cs="Arial"/>
          <w:b/>
          <w:bCs/>
        </w:rPr>
        <w:t>§63.2252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are the requirements for process units that have no control or work practice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For process units not subject to the compliance options or work practice requirements specified in §63.2240 (including, but not limited to, lumber kilns), you are not required to comply with the compliance options, work practice requirements, performance testing, monitoring, SSM plans, and recordkeeping or reporting requirements of this subpart, or any other requirements in subpart A of this part, except for the initial notification requirements in §63.9(b).</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[71 FR 8372, Feb. 16, 2006]</w:t>
      </w:r>
    </w:p>
    <w:p w:rsidR="000F387B" w:rsidRPr="000F387B" w:rsidRDefault="000F387B" w:rsidP="000F387B">
      <w:pPr>
        <w:spacing w:before="200" w:after="100" w:afterAutospacing="1" w:line="240" w:lineRule="auto"/>
        <w:rPr>
          <w:rFonts w:ascii="Arial" w:eastAsia="Times New Roman" w:hAnsi="Arial" w:cs="Arial"/>
        </w:rPr>
      </w:pPr>
      <w:hyperlink r:id="rId78" w:anchor="_top" w:history="1">
        <w:r w:rsidRPr="000F387B">
          <w:rPr>
            <w:rFonts w:ascii="Arial" w:eastAsia="Times New Roman" w:hAnsi="Arial" w:cs="Arial"/>
            <w:noProof/>
            <w:color w:val="0000FF"/>
          </w:rPr>
          <w:drawing>
            <wp:inline distT="0" distB="0" distL="0" distR="0">
              <wp:extent cx="152400" cy="152400"/>
              <wp:effectExtent l="0" t="0" r="0" b="0"/>
              <wp:docPr id="44" name="Picture 4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13" w:name="sg40.13.63_12252.sg37"/>
      <w:bookmarkEnd w:id="13"/>
      <w:r w:rsidRPr="000F387B">
        <w:rPr>
          <w:rFonts w:ascii="Arial" w:eastAsia="Times New Roman" w:hAnsi="Arial" w:cs="Arial"/>
          <w:b/>
          <w:bCs/>
          <w:smallCaps/>
        </w:rPr>
        <w:t>Initial Compliance Requirements</w:t>
      </w:r>
    </w:p>
    <w:p w:rsidR="000F387B" w:rsidRPr="000F387B" w:rsidRDefault="000F387B" w:rsidP="000F387B">
      <w:pPr>
        <w:spacing w:before="200" w:after="100" w:afterAutospacing="1" w:line="240" w:lineRule="auto"/>
        <w:rPr>
          <w:rFonts w:ascii="Arial" w:eastAsia="Times New Roman" w:hAnsi="Arial" w:cs="Arial"/>
        </w:rPr>
      </w:pPr>
      <w:hyperlink r:id="rId79" w:anchor="_top" w:history="1">
        <w:r w:rsidRPr="000F387B">
          <w:rPr>
            <w:rFonts w:ascii="Arial" w:eastAsia="Times New Roman" w:hAnsi="Arial" w:cs="Arial"/>
            <w:noProof/>
            <w:color w:val="0000FF"/>
          </w:rPr>
          <w:drawing>
            <wp:inline distT="0" distB="0" distL="0" distR="0">
              <wp:extent cx="152400" cy="152400"/>
              <wp:effectExtent l="0" t="0" r="0" b="0"/>
              <wp:docPr id="43" name="Picture 4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4" w:name="se40.13.63_12260"/>
      <w:bookmarkEnd w:id="14"/>
      <w:r w:rsidRPr="000F387B">
        <w:rPr>
          <w:rFonts w:ascii="Arial" w:eastAsia="Times New Roman" w:hAnsi="Arial" w:cs="Arial"/>
          <w:b/>
          <w:bCs/>
        </w:rPr>
        <w:t>§63.2260   </w:t>
      </w:r>
      <w:proofErr w:type="gramStart"/>
      <w:r w:rsidRPr="000F387B">
        <w:rPr>
          <w:rFonts w:ascii="Arial" w:eastAsia="Times New Roman" w:hAnsi="Arial" w:cs="Arial"/>
          <w:b/>
          <w:bCs/>
        </w:rPr>
        <w:t>How</w:t>
      </w:r>
      <w:proofErr w:type="gramEnd"/>
      <w:r w:rsidRPr="000F387B">
        <w:rPr>
          <w:rFonts w:ascii="Arial" w:eastAsia="Times New Roman" w:hAnsi="Arial" w:cs="Arial"/>
          <w:b/>
          <w:bCs/>
        </w:rPr>
        <w:t xml:space="preserve"> do I demonstrate initial compliance with the compliance options, operating requirements, and work practice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To demonstrate initial compliance with the compliance options and operating requirements, you must conduct performance tests and establish each site-specific operating requirement in Table 2 to this subpart according to the requirements in §63.2262 and Table 4 to this subpart. Combustion units that accept process exhausts into the flame zone are exempt from the initial performance testing and operating requirements for thermal oxidizers.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You must demonstrate initial compliance with each compliance option, operating requirement, and work practice requirement that applies to you according to Tables 5 and 6 to this subpart and according to §§63.2260 through 63.2269 of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You must submit the Notification of Compliance Status containing the results of the initial compliance demonstration according to the requirements in §63.2280(d). </w:t>
      </w:r>
    </w:p>
    <w:p w:rsidR="000F387B" w:rsidRPr="000F387B" w:rsidRDefault="000F387B" w:rsidP="000F387B">
      <w:pPr>
        <w:spacing w:before="200" w:after="100" w:afterAutospacing="1" w:line="240" w:lineRule="auto"/>
        <w:rPr>
          <w:rFonts w:ascii="Arial" w:eastAsia="Times New Roman" w:hAnsi="Arial" w:cs="Arial"/>
        </w:rPr>
      </w:pPr>
      <w:hyperlink r:id="rId80" w:anchor="_top" w:history="1">
        <w:r w:rsidRPr="000F387B">
          <w:rPr>
            <w:rFonts w:ascii="Arial" w:eastAsia="Times New Roman" w:hAnsi="Arial" w:cs="Arial"/>
            <w:noProof/>
            <w:color w:val="0000FF"/>
          </w:rPr>
          <w:drawing>
            <wp:inline distT="0" distB="0" distL="0" distR="0">
              <wp:extent cx="152400" cy="152400"/>
              <wp:effectExtent l="0" t="0" r="0" b="0"/>
              <wp:docPr id="42" name="Picture 42"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5" w:name="se40.13.63_12261"/>
      <w:bookmarkEnd w:id="15"/>
      <w:r w:rsidRPr="000F387B">
        <w:rPr>
          <w:rFonts w:ascii="Arial" w:eastAsia="Times New Roman" w:hAnsi="Arial" w:cs="Arial"/>
          <w:b/>
          <w:bCs/>
        </w:rPr>
        <w:t>§63.2261   </w:t>
      </w:r>
      <w:proofErr w:type="gramStart"/>
      <w:r w:rsidRPr="000F387B">
        <w:rPr>
          <w:rFonts w:ascii="Arial" w:eastAsia="Times New Roman" w:hAnsi="Arial" w:cs="Arial"/>
          <w:b/>
          <w:bCs/>
        </w:rPr>
        <w:t>By</w:t>
      </w:r>
      <w:proofErr w:type="gramEnd"/>
      <w:r w:rsidRPr="000F387B">
        <w:rPr>
          <w:rFonts w:ascii="Arial" w:eastAsia="Times New Roman" w:hAnsi="Arial" w:cs="Arial"/>
          <w:b/>
          <w:bCs/>
        </w:rPr>
        <w:t xml:space="preserve"> what date must I conduct performance tests or other initial compliance demonstrations?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conduct performance tests upon initial startup or no later than 180 calendar days after the compliance date that is specified for your source in §63.2233 and according to §63.7(a)(2), whichever is later.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You must conduct initial compliance demonstrations that do not require performance tests upon initial startup or no later than 30 calendar days after the compliance date that is specified for your source in §63.2233, whichever is later. </w:t>
      </w:r>
    </w:p>
    <w:p w:rsidR="000F387B" w:rsidRPr="000F387B" w:rsidRDefault="000F387B" w:rsidP="000F387B">
      <w:pPr>
        <w:spacing w:before="200" w:after="100" w:afterAutospacing="1" w:line="240" w:lineRule="auto"/>
        <w:rPr>
          <w:rFonts w:ascii="Arial" w:eastAsia="Times New Roman" w:hAnsi="Arial" w:cs="Arial"/>
        </w:rPr>
      </w:pPr>
      <w:hyperlink r:id="rId81" w:anchor="_top" w:history="1">
        <w:r w:rsidRPr="000F387B">
          <w:rPr>
            <w:rFonts w:ascii="Arial" w:eastAsia="Times New Roman" w:hAnsi="Arial" w:cs="Arial"/>
            <w:noProof/>
            <w:color w:val="0000FF"/>
          </w:rPr>
          <w:drawing>
            <wp:inline distT="0" distB="0" distL="0" distR="0">
              <wp:extent cx="152400" cy="152400"/>
              <wp:effectExtent l="0" t="0" r="0" b="0"/>
              <wp:docPr id="41" name="Picture 4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6" w:name="se40.13.63_12262"/>
      <w:bookmarkEnd w:id="16"/>
      <w:r w:rsidRPr="000F387B">
        <w:rPr>
          <w:rFonts w:ascii="Arial" w:eastAsia="Times New Roman" w:hAnsi="Arial" w:cs="Arial"/>
          <w:b/>
          <w:bCs/>
        </w:rPr>
        <w:t>§63.2262   </w:t>
      </w:r>
      <w:proofErr w:type="gramStart"/>
      <w:r w:rsidRPr="000F387B">
        <w:rPr>
          <w:rFonts w:ascii="Arial" w:eastAsia="Times New Roman" w:hAnsi="Arial" w:cs="Arial"/>
          <w:b/>
          <w:bCs/>
        </w:rPr>
        <w:t>How</w:t>
      </w:r>
      <w:proofErr w:type="gramEnd"/>
      <w:r w:rsidRPr="000F387B">
        <w:rPr>
          <w:rFonts w:ascii="Arial" w:eastAsia="Times New Roman" w:hAnsi="Arial" w:cs="Arial"/>
          <w:b/>
          <w:bCs/>
        </w:rPr>
        <w:t xml:space="preserve"> do I conduct performance tests and establish operating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conduct each performance test according to the requirements in §63.7(e)(1), the requirements in paragraphs (b) through (o) of this section, and according to the methods specified in Table 4 to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w:t>
      </w:r>
      <w:r w:rsidRPr="000F387B">
        <w:rPr>
          <w:rFonts w:ascii="Arial" w:eastAsia="Times New Roman" w:hAnsi="Arial" w:cs="Arial"/>
          <w:i/>
          <w:iCs/>
        </w:rPr>
        <w:t>Periods when performance tests must be conducted.</w:t>
      </w:r>
      <w:r w:rsidRPr="000F387B">
        <w:rPr>
          <w:rFonts w:ascii="Arial" w:eastAsia="Times New Roman" w:hAnsi="Arial" w:cs="Arial"/>
        </w:rPr>
        <w:t xml:space="preserve"> (1) You must not conduct performance tests during periods of startup, shutdown, or malfunction, as specified in §63.7(e</w:t>
      </w:r>
      <w:proofErr w:type="gramStart"/>
      <w:r w:rsidRPr="000F387B">
        <w:rPr>
          <w:rFonts w:ascii="Arial" w:eastAsia="Times New Roman" w:hAnsi="Arial" w:cs="Arial"/>
        </w:rPr>
        <w:t>)(</w:t>
      </w:r>
      <w:proofErr w:type="gramEnd"/>
      <w:r w:rsidRPr="000F387B">
        <w:rPr>
          <w:rFonts w:ascii="Arial" w:eastAsia="Times New Roman" w:hAnsi="Arial" w:cs="Arial"/>
        </w:rPr>
        <w:t>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must test under representative operating conditions as defined in §63.2292. You must describe representative operating conditions in your performance test report for the process and control systems and explain why they are representative.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w:t>
      </w:r>
      <w:r w:rsidRPr="000F387B">
        <w:rPr>
          <w:rFonts w:ascii="Arial" w:eastAsia="Times New Roman" w:hAnsi="Arial" w:cs="Arial"/>
          <w:i/>
          <w:iCs/>
        </w:rPr>
        <w:t>Number of test runs.</w:t>
      </w:r>
      <w:r w:rsidRPr="000F387B">
        <w:rPr>
          <w:rFonts w:ascii="Arial" w:eastAsia="Times New Roman" w:hAnsi="Arial" w:cs="Arial"/>
        </w:rPr>
        <w:t xml:space="preserve"> You must conduct three separate test runs for each performance test required in this section as specified in §63.7(e</w:t>
      </w:r>
      <w:proofErr w:type="gramStart"/>
      <w:r w:rsidRPr="000F387B">
        <w:rPr>
          <w:rFonts w:ascii="Arial" w:eastAsia="Times New Roman" w:hAnsi="Arial" w:cs="Arial"/>
        </w:rPr>
        <w:t>)(</w:t>
      </w:r>
      <w:proofErr w:type="gramEnd"/>
      <w:r w:rsidRPr="000F387B">
        <w:rPr>
          <w:rFonts w:ascii="Arial" w:eastAsia="Times New Roman" w:hAnsi="Arial" w:cs="Arial"/>
        </w:rPr>
        <w:t>3). Each test run must last at least 1 hour except for: testing of a temporary total enclosure (TTE) conducted using Methods 204A through 204F of 40 CFR part 51, appendix M, which require three separate test runs of at least 3 hours each; and testing of an enclosure conducted using the alternative tracer gas method in appendix A to this subpart, which requires a minimum of three separate runs of at least 20 minutes each.</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(d) </w:t>
      </w:r>
      <w:r w:rsidRPr="000F387B">
        <w:rPr>
          <w:rFonts w:ascii="Arial" w:eastAsia="Times New Roman" w:hAnsi="Arial" w:cs="Arial"/>
          <w:i/>
          <w:iCs/>
        </w:rPr>
        <w:t>Location of sampling sites.</w:t>
      </w:r>
      <w:r w:rsidRPr="000F387B">
        <w:rPr>
          <w:rFonts w:ascii="Arial" w:eastAsia="Times New Roman" w:hAnsi="Arial" w:cs="Arial"/>
        </w:rPr>
        <w:t xml:space="preserve"> (1) Sampling sites must be located at the inlet (if emission reduction testing or documentation of inlet methanol or formaldehyde concentration is required) and outlet of the control device (defined in §63.2292) and prior to any releases to the atmosphere. For control sequences with wet control devices (defined in §63.2292) followed by control devices (defined in §63.2292), sampling sites may be located at the inlet and outlet of the control sequence and prior to any releases to the atmosphere.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Sampling sites for process units meeting compliance options without a control device must be located prior to any releases to the atmosphere. Facilities demonstrating compliance with a production-based compliance option for a process unit equipped with a wet control device must locate sampling sites prior to the wet control device.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(e) </w:t>
      </w:r>
      <w:r w:rsidRPr="000F387B">
        <w:rPr>
          <w:rFonts w:ascii="Arial" w:eastAsia="Times New Roman" w:hAnsi="Arial" w:cs="Arial"/>
          <w:i/>
          <w:iCs/>
        </w:rPr>
        <w:t>Collection of monitoring data.</w:t>
      </w:r>
      <w:r w:rsidRPr="000F387B">
        <w:rPr>
          <w:rFonts w:ascii="Arial" w:eastAsia="Times New Roman" w:hAnsi="Arial" w:cs="Arial"/>
        </w:rPr>
        <w:t xml:space="preserve"> You must collect operating parameter monitoring system or continuous emissions monitoring system (CEMS) data at least every 15 minutes during the entire performance test and determine the parameter or concentration value for the operating requirement during the performance test using the methods specified in paragraphs (k) through (o)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(f) </w:t>
      </w:r>
      <w:r w:rsidRPr="000F387B">
        <w:rPr>
          <w:rFonts w:ascii="Arial" w:eastAsia="Times New Roman" w:hAnsi="Arial" w:cs="Arial"/>
          <w:i/>
          <w:iCs/>
        </w:rPr>
        <w:t>Collection of production data.</w:t>
      </w:r>
      <w:r w:rsidRPr="000F387B">
        <w:rPr>
          <w:rFonts w:ascii="Arial" w:eastAsia="Times New Roman" w:hAnsi="Arial" w:cs="Arial"/>
        </w:rPr>
        <w:t xml:space="preserve"> To comply with any of the production-based compliance options, you must measure and record the process unit throughput during each performance test.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(g) </w:t>
      </w:r>
      <w:proofErr w:type="spellStart"/>
      <w:r w:rsidRPr="000F387B">
        <w:rPr>
          <w:rFonts w:ascii="Arial" w:eastAsia="Times New Roman" w:hAnsi="Arial" w:cs="Arial"/>
          <w:i/>
          <w:iCs/>
        </w:rPr>
        <w:t>Nondetect</w:t>
      </w:r>
      <w:proofErr w:type="spellEnd"/>
      <w:r w:rsidRPr="000F387B">
        <w:rPr>
          <w:rFonts w:ascii="Arial" w:eastAsia="Times New Roman" w:hAnsi="Arial" w:cs="Arial"/>
          <w:i/>
          <w:iCs/>
        </w:rPr>
        <w:t xml:space="preserve"> data.</w:t>
      </w:r>
      <w:r w:rsidRPr="000F387B">
        <w:rPr>
          <w:rFonts w:ascii="Arial" w:eastAsia="Times New Roman" w:hAnsi="Arial" w:cs="Arial"/>
        </w:rPr>
        <w:t xml:space="preserve"> (1) Except as specified in paragraph (g)(2) of this section, all </w:t>
      </w:r>
      <w:proofErr w:type="spellStart"/>
      <w:r w:rsidRPr="000F387B">
        <w:rPr>
          <w:rFonts w:ascii="Arial" w:eastAsia="Times New Roman" w:hAnsi="Arial" w:cs="Arial"/>
        </w:rPr>
        <w:t>nondetect</w:t>
      </w:r>
      <w:proofErr w:type="spellEnd"/>
      <w:r w:rsidRPr="000F387B">
        <w:rPr>
          <w:rFonts w:ascii="Arial" w:eastAsia="Times New Roman" w:hAnsi="Arial" w:cs="Arial"/>
        </w:rPr>
        <w:t xml:space="preserve"> data (§63.2292) must be treated as one-half of the method detection limit when determining total HAP, formaldehyde, methanol, or total hydrocarbon (THC) emission rates.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(2) When showing compliance with the production-based compliance options in Table 1A to this subpart, you may treat emissions of an individual HAP as zero if all three of the performance test runs result in a </w:t>
      </w:r>
      <w:proofErr w:type="spellStart"/>
      <w:r w:rsidRPr="000F387B">
        <w:rPr>
          <w:rFonts w:ascii="Arial" w:eastAsia="Times New Roman" w:hAnsi="Arial" w:cs="Arial"/>
        </w:rPr>
        <w:t>nondetect</w:t>
      </w:r>
      <w:proofErr w:type="spellEnd"/>
      <w:r w:rsidRPr="000F387B">
        <w:rPr>
          <w:rFonts w:ascii="Arial" w:eastAsia="Times New Roman" w:hAnsi="Arial" w:cs="Arial"/>
        </w:rPr>
        <w:t xml:space="preserve"> measurement, and the method detection limit is less than or equal to 1 parts per million by volume, dry basis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Otherwise, </w:t>
      </w:r>
      <w:proofErr w:type="spellStart"/>
      <w:r w:rsidRPr="000F387B">
        <w:rPr>
          <w:rFonts w:ascii="Arial" w:eastAsia="Times New Roman" w:hAnsi="Arial" w:cs="Arial"/>
        </w:rPr>
        <w:t>nondetect</w:t>
      </w:r>
      <w:proofErr w:type="spellEnd"/>
      <w:r w:rsidRPr="000F387B">
        <w:rPr>
          <w:rFonts w:ascii="Arial" w:eastAsia="Times New Roman" w:hAnsi="Arial" w:cs="Arial"/>
        </w:rPr>
        <w:t xml:space="preserve"> data for individual HAP must be treated as one-half of the method detection limit.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(h) </w:t>
      </w:r>
      <w:r w:rsidRPr="000F387B">
        <w:rPr>
          <w:rFonts w:ascii="Arial" w:eastAsia="Times New Roman" w:hAnsi="Arial" w:cs="Arial"/>
          <w:i/>
          <w:iCs/>
        </w:rPr>
        <w:t>Calculation of percent reduction across a control system.</w:t>
      </w:r>
      <w:r w:rsidRPr="000F387B">
        <w:rPr>
          <w:rFonts w:ascii="Arial" w:eastAsia="Times New Roman" w:hAnsi="Arial" w:cs="Arial"/>
        </w:rPr>
        <w:t xml:space="preserve"> When determining the control system efficiency for any control system included in your emissions averaging plan (not to exceed 90 percent) and when complying with any of the compliance options based on percent reduction across a control system in Table 1B to this subpart, as part of the performance test, you must calculate the percent reduction using Equation 1 of this section: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2552700" cy="425450"/>
            <wp:effectExtent l="0" t="0" r="0" b="0"/>
            <wp:docPr id="40" name="Picture 40" descr="eCFR graphic er72ad04.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72ad04.003.gif"/>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552700" cy="4254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83"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PR = percent reduction, percent;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CE = capture efficiency, percent (determined for reconstituted wood product presses and board coolers as required in Table 4 to this subpart);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ER</w:t>
      </w:r>
      <w:r w:rsidRPr="000F387B">
        <w:rPr>
          <w:rFonts w:ascii="Arial" w:eastAsia="Times New Roman" w:hAnsi="Arial" w:cs="Arial"/>
          <w:vertAlign w:val="subscript"/>
        </w:rPr>
        <w:t>in</w:t>
      </w:r>
      <w:proofErr w:type="spellEnd"/>
      <w:r w:rsidRPr="000F387B">
        <w:rPr>
          <w:rFonts w:ascii="Arial" w:eastAsia="Times New Roman" w:hAnsi="Arial" w:cs="Arial"/>
        </w:rPr>
        <w:t xml:space="preserve"> = emission rate of total HAP (calculated as the sum of the emission rates of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 xml:space="preserve">), THC, formaldehyde, or methanol in the inlet vent stream of the control device, pounds per hour;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ER</w:t>
      </w:r>
      <w:r w:rsidRPr="000F387B">
        <w:rPr>
          <w:rFonts w:ascii="Arial" w:eastAsia="Times New Roman" w:hAnsi="Arial" w:cs="Arial"/>
          <w:vertAlign w:val="subscript"/>
        </w:rPr>
        <w:t>out</w:t>
      </w:r>
      <w:proofErr w:type="spellEnd"/>
      <w:r w:rsidRPr="000F387B">
        <w:rPr>
          <w:rFonts w:ascii="Arial" w:eastAsia="Times New Roman" w:hAnsi="Arial" w:cs="Arial"/>
        </w:rPr>
        <w:t xml:space="preserve"> = emission rate of total HAP (calculated as the sum of the emission rates of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 THC, formaldehyde, or methanol in the outlet vent stream of the control device, pounds per hour.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w:t>
      </w:r>
      <w:proofErr w:type="spellStart"/>
      <w:r w:rsidRPr="000F387B">
        <w:rPr>
          <w:rFonts w:ascii="Arial" w:eastAsia="Times New Roman" w:hAnsi="Arial" w:cs="Arial"/>
        </w:rPr>
        <w:t>i</w:t>
      </w:r>
      <w:proofErr w:type="spellEnd"/>
      <w:r w:rsidRPr="000F387B">
        <w:rPr>
          <w:rFonts w:ascii="Arial" w:eastAsia="Times New Roman" w:hAnsi="Arial" w:cs="Arial"/>
        </w:rPr>
        <w:t xml:space="preserve">) </w:t>
      </w:r>
      <w:r w:rsidRPr="000F387B">
        <w:rPr>
          <w:rFonts w:ascii="Arial" w:eastAsia="Times New Roman" w:hAnsi="Arial" w:cs="Arial"/>
          <w:i/>
          <w:iCs/>
        </w:rPr>
        <w:t>Calculation of mass per unit production.</w:t>
      </w:r>
      <w:r w:rsidRPr="000F387B">
        <w:rPr>
          <w:rFonts w:ascii="Arial" w:eastAsia="Times New Roman" w:hAnsi="Arial" w:cs="Arial"/>
        </w:rPr>
        <w:t xml:space="preserve"> To comply with any of the production-based compliance options in Table 1A to this subpart, you must calculate your mass per unit production emissions for each performance test run using Equation 2 of this section: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1600200" cy="387350"/>
            <wp:effectExtent l="0" t="0" r="0" b="0"/>
            <wp:docPr id="39" name="Picture 39" descr="eCFR graphic er72ad04.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72ad04.004.gif"/>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1600200" cy="3873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85"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MP = mass per unit production, pounds per oven dried ton OR pounds per thousand square feet on a specified thickness basis (see paragraph (j) of this section if you need to convert from one thickness basis to another);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ER</w:t>
      </w:r>
      <w:r w:rsidRPr="000F387B">
        <w:rPr>
          <w:rFonts w:ascii="Arial" w:eastAsia="Times New Roman" w:hAnsi="Arial" w:cs="Arial"/>
          <w:vertAlign w:val="subscript"/>
        </w:rPr>
        <w:t>HAP</w:t>
      </w:r>
      <w:r w:rsidRPr="000F387B">
        <w:rPr>
          <w:rFonts w:ascii="Arial" w:eastAsia="Times New Roman" w:hAnsi="Arial" w:cs="Arial"/>
        </w:rPr>
        <w:t xml:space="preserve"> = emission rate of total HAP (calculated as the sum of the emission rates of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 xml:space="preserve">) in the stack, pounds per hour;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P = process unit production rate (throughput), oven dried tons per hour OR thousand square feet per hour on a specified thickness basis;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CE = capture efficiency, percent (determined for reconstituted wood product presses and board coolers as required in Table 4 to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(j) </w:t>
      </w:r>
      <w:r w:rsidRPr="000F387B">
        <w:rPr>
          <w:rFonts w:ascii="Arial" w:eastAsia="Times New Roman" w:hAnsi="Arial" w:cs="Arial"/>
          <w:i/>
          <w:iCs/>
        </w:rPr>
        <w:t>Thickness basis conversion.</w:t>
      </w:r>
      <w:r w:rsidRPr="000F387B">
        <w:rPr>
          <w:rFonts w:ascii="Arial" w:eastAsia="Times New Roman" w:hAnsi="Arial" w:cs="Arial"/>
        </w:rPr>
        <w:t xml:space="preserve"> Use Equation 3 of this section to convert from one thickness basis to another: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1905000" cy="387350"/>
            <wp:effectExtent l="0" t="0" r="0" b="0"/>
            <wp:docPr id="38" name="Picture 38" descr="eCFR graphic er72ad04.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72ad04.005.gif"/>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1905000" cy="3873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87"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MSF</w:t>
      </w:r>
      <w:r w:rsidRPr="000F387B">
        <w:rPr>
          <w:rFonts w:ascii="Arial" w:eastAsia="Times New Roman" w:hAnsi="Arial" w:cs="Arial"/>
          <w:vertAlign w:val="subscript"/>
        </w:rPr>
        <w:t>A</w:t>
      </w:r>
      <w:r w:rsidRPr="000F387B">
        <w:rPr>
          <w:rFonts w:ascii="Arial" w:eastAsia="Times New Roman" w:hAnsi="Arial" w:cs="Arial"/>
        </w:rPr>
        <w:t xml:space="preserve"> = thousand square feet on an A-inch basis;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MSF</w:t>
      </w:r>
      <w:r w:rsidRPr="000F387B">
        <w:rPr>
          <w:rFonts w:ascii="Arial" w:eastAsia="Times New Roman" w:hAnsi="Arial" w:cs="Arial"/>
          <w:vertAlign w:val="subscript"/>
        </w:rPr>
        <w:t>B</w:t>
      </w:r>
      <w:r w:rsidRPr="000F387B">
        <w:rPr>
          <w:rFonts w:ascii="Arial" w:eastAsia="Times New Roman" w:hAnsi="Arial" w:cs="Arial"/>
        </w:rPr>
        <w:t xml:space="preserve"> = thousand square feet on a B-inch basis;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A = old thickness you are converting from, inches;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B = new thickness you are converting to, inches.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(k) </w:t>
      </w:r>
      <w:r w:rsidRPr="000F387B">
        <w:rPr>
          <w:rFonts w:ascii="Arial" w:eastAsia="Times New Roman" w:hAnsi="Arial" w:cs="Arial"/>
          <w:i/>
          <w:iCs/>
        </w:rPr>
        <w:t>Establishing thermal oxidizer operating requirements.</w:t>
      </w:r>
      <w:r w:rsidRPr="000F387B">
        <w:rPr>
          <w:rFonts w:ascii="Arial" w:eastAsia="Times New Roman" w:hAnsi="Arial" w:cs="Arial"/>
        </w:rPr>
        <w:t xml:space="preserve"> If you operate a thermal oxidizer, you must establish your thermal oxidizer operating parameters according to paragraphs (k</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During the performance test, you must continuously monitor the firebox temperature during each of the required 1-hour test runs. For regenerative thermal oxidizers, you may measure the temperature in multiple locations (</w:t>
      </w:r>
      <w:r w:rsidRPr="000F387B">
        <w:rPr>
          <w:rFonts w:ascii="Arial" w:eastAsia="Times New Roman" w:hAnsi="Arial" w:cs="Arial"/>
          <w:i/>
          <w:iCs/>
        </w:rPr>
        <w:t>e.g.</w:t>
      </w:r>
      <w:r w:rsidRPr="000F387B">
        <w:rPr>
          <w:rFonts w:ascii="Arial" w:eastAsia="Times New Roman" w:hAnsi="Arial" w:cs="Arial"/>
        </w:rPr>
        <w:t>, one location per burner) in the combustion chamber and calculate the average of the temperature measurements prior to reducing the temperature data to 15-minute averages for purposes of establishing your minimum firebox temperature. The minimum firebox temperature must then be established as the average of the three minimum 15-minute firebox temperatures monitored during the three test runs. Multiple three-run performance tests may be conducted to establish a range of parameter values under different operating conditions.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may establish a different minimum firebox temperature for your thermal oxidizer by submitting the notification specified in §63.2280(g) and conducting a repeat performance test as specified in paragraph (k)(1) of this section that demonstrates compliance with the applicable compliance options of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If your thermal oxidizer is a combustion unit that accepts process exhaust into the flame zone, then you are exempt from the performance testing and monitoring requirements specified in paragraphs (k</w:t>
      </w:r>
      <w:proofErr w:type="gramStart"/>
      <w:r w:rsidRPr="000F387B">
        <w:rPr>
          <w:rFonts w:ascii="Arial" w:eastAsia="Times New Roman" w:hAnsi="Arial" w:cs="Arial"/>
        </w:rPr>
        <w:t>)(</w:t>
      </w:r>
      <w:proofErr w:type="gramEnd"/>
      <w:r w:rsidRPr="000F387B">
        <w:rPr>
          <w:rFonts w:ascii="Arial" w:eastAsia="Times New Roman" w:hAnsi="Arial" w:cs="Arial"/>
        </w:rPr>
        <w:t>1) and (2) of this section. To demonstrate initial compliance, you must submit documentation with your Notification of Compliance Status showing that process exhausts controlled by the combustion unit enter into the flame zone.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(l) </w:t>
      </w:r>
      <w:r w:rsidRPr="000F387B">
        <w:rPr>
          <w:rFonts w:ascii="Arial" w:eastAsia="Times New Roman" w:hAnsi="Arial" w:cs="Arial"/>
          <w:i/>
          <w:iCs/>
        </w:rPr>
        <w:t>Establishing catalytic oxidizer operating requirements.</w:t>
      </w:r>
      <w:r w:rsidRPr="000F387B">
        <w:rPr>
          <w:rFonts w:ascii="Arial" w:eastAsia="Times New Roman" w:hAnsi="Arial" w:cs="Arial"/>
        </w:rPr>
        <w:t xml:space="preserve"> If you operate a catalytic oxidizer, you must establish your catalytic oxidizer operating parameters according to paragraphs (l</w:t>
      </w:r>
      <w:proofErr w:type="gramStart"/>
      <w:r w:rsidRPr="000F387B">
        <w:rPr>
          <w:rFonts w:ascii="Arial" w:eastAsia="Times New Roman" w:hAnsi="Arial" w:cs="Arial"/>
        </w:rPr>
        <w:t>)(</w:t>
      </w:r>
      <w:proofErr w:type="gramEnd"/>
      <w:r w:rsidRPr="000F387B">
        <w:rPr>
          <w:rFonts w:ascii="Arial" w:eastAsia="Times New Roman" w:hAnsi="Arial" w:cs="Arial"/>
        </w:rPr>
        <w:t>1) and (2)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During the performance test, you must continuously monitor during the required 1-hour test runs either the temperature at the inlet to each catalyst bed or the temperature in the combustion chamber. For regenerative catalytic oxidizers, you must calculate the average of the temperature measurements from each catalyst bed inlet or within the combustion chamber prior to reducing the temperature data to 15-minute averages for purposes of establishing your minimum catalytic oxidizer temperature. The minimum catalytic oxidizer temperature must then be established as the average of the three minimum 15-minute temperatures monitored during the three test runs. Multiple three-run performance tests may be conducted to establish a range of parameter values under different operating conditions.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may establish a different minimum catalytic oxidizer temperature by submitting the notification specified in §63.2280(g) and conducting a repeat performance test as specified in paragraphs (l)(1) and (2) of this section that demonstrates compliance with the applicable compliance options of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(m) </w:t>
      </w:r>
      <w:r w:rsidRPr="000F387B">
        <w:rPr>
          <w:rFonts w:ascii="Arial" w:eastAsia="Times New Roman" w:hAnsi="Arial" w:cs="Arial"/>
          <w:i/>
          <w:iCs/>
        </w:rPr>
        <w:t xml:space="preserve">Establishing </w:t>
      </w:r>
      <w:proofErr w:type="spellStart"/>
      <w:r w:rsidRPr="000F387B">
        <w:rPr>
          <w:rFonts w:ascii="Arial" w:eastAsia="Times New Roman" w:hAnsi="Arial" w:cs="Arial"/>
          <w:i/>
          <w:iCs/>
        </w:rPr>
        <w:t>biofilter</w:t>
      </w:r>
      <w:proofErr w:type="spellEnd"/>
      <w:r w:rsidRPr="000F387B">
        <w:rPr>
          <w:rFonts w:ascii="Arial" w:eastAsia="Times New Roman" w:hAnsi="Arial" w:cs="Arial"/>
          <w:i/>
          <w:iCs/>
        </w:rPr>
        <w:t xml:space="preserve"> operating requirements.</w:t>
      </w:r>
      <w:r w:rsidRPr="000F387B">
        <w:rPr>
          <w:rFonts w:ascii="Arial" w:eastAsia="Times New Roman" w:hAnsi="Arial" w:cs="Arial"/>
        </w:rPr>
        <w:t xml:space="preserve"> If you operate a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you must establish your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operating requirements according to paragraphs (m</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 During the performance test, you must continuously monitor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during each of the required 1-hour test runs. To monitor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you may use multiple thermocouples in representative locations throughout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and calculate the average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across these thermocouples prior to reducing the temperature data to 15-minute averages for purposes of establishing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limits.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range must be established as the minimum and maximum 15-minute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temperatures monitored during the three test runs. You may base your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range on values recorded during previous performance tests provided that the data used to establish the temperature ranges have been obtained using the test methods required in this subpart. If you use data from previous performance tests, you must certify that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and associated process unit(s) have not been modified subsequent to the date of the performance tests. Replacement of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media with the same type of material is not considered a modification of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for purposes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(2) For a new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installation, you will be allowed up to 180 days following the compliance date or 180 days following initial startup of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to complete the requirements in paragraph (m)(1)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(3) You may expand your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operating range by submitting the notification specified in §63.2280(g) and conducting a repeat performance test as specified in paragraph (m)(1) of this section that demonstrates compliance with the applicable compliance options of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(n) </w:t>
      </w:r>
      <w:r w:rsidRPr="000F387B">
        <w:rPr>
          <w:rFonts w:ascii="Arial" w:eastAsia="Times New Roman" w:hAnsi="Arial" w:cs="Arial"/>
          <w:i/>
          <w:iCs/>
        </w:rPr>
        <w:t>Establishing operating requirements for process units meeting compliance options without a control device.</w:t>
      </w:r>
      <w:r w:rsidRPr="000F387B">
        <w:rPr>
          <w:rFonts w:ascii="Arial" w:eastAsia="Times New Roman" w:hAnsi="Arial" w:cs="Arial"/>
        </w:rPr>
        <w:t xml:space="preserve"> If you operate a process unit that meets a compliance option in Table 1A to this subpart, or is a process unit that generates debits in an emissions average without the use of a control device, you must establish your process unit operating parameters according to paragraphs (n</w:t>
      </w:r>
      <w:proofErr w:type="gramStart"/>
      <w:r w:rsidRPr="000F387B">
        <w:rPr>
          <w:rFonts w:ascii="Arial" w:eastAsia="Times New Roman" w:hAnsi="Arial" w:cs="Arial"/>
        </w:rPr>
        <w:t>)(</w:t>
      </w:r>
      <w:proofErr w:type="gramEnd"/>
      <w:r w:rsidRPr="000F387B">
        <w:rPr>
          <w:rFonts w:ascii="Arial" w:eastAsia="Times New Roman" w:hAnsi="Arial" w:cs="Arial"/>
        </w:rPr>
        <w:t>1) through (2)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During the performance test, you must identify and document the process unit controlling parameter(s) that affect total HAP emissions during the three-run performance test. The controlling parameters you identify must coincide with the representative operating conditions you describe according to §63.2262(b</w:t>
      </w:r>
      <w:proofErr w:type="gramStart"/>
      <w:r w:rsidRPr="000F387B">
        <w:rPr>
          <w:rFonts w:ascii="Arial" w:eastAsia="Times New Roman" w:hAnsi="Arial" w:cs="Arial"/>
        </w:rPr>
        <w:t>)(</w:t>
      </w:r>
      <w:proofErr w:type="gramEnd"/>
      <w:r w:rsidRPr="000F387B">
        <w:rPr>
          <w:rFonts w:ascii="Arial" w:eastAsia="Times New Roman" w:hAnsi="Arial" w:cs="Arial"/>
        </w:rPr>
        <w:t>2). For each parameter, you must specify appropriate monitoring methods, monitoring frequencies, and for continuously monitored parameters, averaging times not to exceed 24 hours. The operating limit for each controlling parameter must then be established as the minimum, maximum, range, or average (as appropriate depending on the parameter) recorded during the performance test. Multiple three-run performance tests may be conducted to establish a range of parameter values under different operating conditions.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may establish different controlling parameter limits for your process unit by submitting the notification specified in §63.2280(g) and conducting a repeat performance test as specified in paragraph (n</w:t>
      </w:r>
      <w:proofErr w:type="gramStart"/>
      <w:r w:rsidRPr="000F387B">
        <w:rPr>
          <w:rFonts w:ascii="Arial" w:eastAsia="Times New Roman" w:hAnsi="Arial" w:cs="Arial"/>
        </w:rPr>
        <w:t>)(</w:t>
      </w:r>
      <w:proofErr w:type="gramEnd"/>
      <w:r w:rsidRPr="000F387B">
        <w:rPr>
          <w:rFonts w:ascii="Arial" w:eastAsia="Times New Roman" w:hAnsi="Arial" w:cs="Arial"/>
        </w:rPr>
        <w:t>1) of this section that demonstrates compliance with the compliance options in Table 1A to this subpart or is used to establish emission averaging debits for an uncontrolled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(o) </w:t>
      </w:r>
      <w:r w:rsidRPr="000F387B">
        <w:rPr>
          <w:rFonts w:ascii="Arial" w:eastAsia="Times New Roman" w:hAnsi="Arial" w:cs="Arial"/>
          <w:i/>
          <w:iCs/>
        </w:rPr>
        <w:t>Establishing operating requirements using THC CEMS.</w:t>
      </w:r>
      <w:r w:rsidRPr="000F387B">
        <w:rPr>
          <w:rFonts w:ascii="Arial" w:eastAsia="Times New Roman" w:hAnsi="Arial" w:cs="Arial"/>
        </w:rPr>
        <w:t xml:space="preserve"> If you choose to meet the operating requirements by monitoring THC concentration instead of monitoring control device or process operating parameters, you must establish your THC concentration operating requirement according to paragraphs (o</w:t>
      </w:r>
      <w:proofErr w:type="gramStart"/>
      <w:r w:rsidRPr="000F387B">
        <w:rPr>
          <w:rFonts w:ascii="Arial" w:eastAsia="Times New Roman" w:hAnsi="Arial" w:cs="Arial"/>
        </w:rPr>
        <w:t>)(</w:t>
      </w:r>
      <w:proofErr w:type="gramEnd"/>
      <w:r w:rsidRPr="000F387B">
        <w:rPr>
          <w:rFonts w:ascii="Arial" w:eastAsia="Times New Roman" w:hAnsi="Arial" w:cs="Arial"/>
        </w:rPr>
        <w:t>1) through (2)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During the performance test, you must continuously monitor THC concentration using your CEMS during each of the required 1-hour test runs. The maximum THC concentration must then be established as the average of the three maximum 15-minute THC concentrations monitored during the three test runs. Multiple three-run performance tests may be conducted to establish a range of THC concentration values under different operating conditions.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(2) You may establish a different maximum THC concentration by submitting the notification specified in §63.2280(g) and conducting a repeat performance test as specified in paragraph (o)(1) of this section that demonstrates compliance with the compliance options in Tables 1A and 1B to this subpart.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8372, Feb. 16, 2006]</w:t>
      </w:r>
    </w:p>
    <w:p w:rsidR="000F387B" w:rsidRPr="000F387B" w:rsidRDefault="000F387B" w:rsidP="000F387B">
      <w:pPr>
        <w:spacing w:before="200" w:after="100" w:afterAutospacing="1" w:line="240" w:lineRule="auto"/>
        <w:rPr>
          <w:rFonts w:ascii="Arial" w:eastAsia="Times New Roman" w:hAnsi="Arial" w:cs="Arial"/>
        </w:rPr>
      </w:pPr>
      <w:hyperlink r:id="rId88" w:anchor="_top" w:history="1">
        <w:r w:rsidRPr="000F387B">
          <w:rPr>
            <w:rFonts w:ascii="Arial" w:eastAsia="Times New Roman" w:hAnsi="Arial" w:cs="Arial"/>
            <w:noProof/>
            <w:color w:val="0000FF"/>
          </w:rPr>
          <w:drawing>
            <wp:inline distT="0" distB="0" distL="0" distR="0">
              <wp:extent cx="152400" cy="152400"/>
              <wp:effectExtent l="0" t="0" r="0" b="0"/>
              <wp:docPr id="37" name="Picture 3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7" w:name="se40.13.63_12263"/>
      <w:bookmarkEnd w:id="17"/>
      <w:r w:rsidRPr="000F387B">
        <w:rPr>
          <w:rFonts w:ascii="Arial" w:eastAsia="Times New Roman" w:hAnsi="Arial" w:cs="Arial"/>
          <w:b/>
          <w:bCs/>
        </w:rPr>
        <w:t>§63.2263   Initial compliance demonstration for a dry rotary dryer.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If you operate a dry rotary dryer, you must demonstrate that your dryer processes furnish with an inlet moisture content of less than or equal to 30 percent (by weight, dry basis) and operates with a dryer inlet temperature of less than or equal to 600 °F. You must designate and clearly identify each dry rotary dryer. You must record the inlet furnish moisture content (dry basis) and inlet dryer operating temperature according to §63.2269(a), (b), and (c) and §63.2270 for a minimum of 30 calendar days. You must submit the highest recorded 24-hour average inlet furnish moisture content and the highest recorded 24-hour average dryer inlet temperature with your Notification of Compliance Status. In addition, you must submit with the Notification of Compliance Status a signed statement by a responsible official that certifies with truth, accuracy, and completeness that the dry rotary dryer will dry furnish with a maximum inlet moisture content less than or equal to 30 percent (by weight, dry basis) and will operate with a maximum inlet temperature of less than or equal to 600 °F in the future. </w:t>
      </w:r>
    </w:p>
    <w:p w:rsidR="000F387B" w:rsidRPr="000F387B" w:rsidRDefault="000F387B" w:rsidP="000F387B">
      <w:pPr>
        <w:spacing w:before="200" w:after="100" w:afterAutospacing="1" w:line="240" w:lineRule="auto"/>
        <w:rPr>
          <w:rFonts w:ascii="Arial" w:eastAsia="Times New Roman" w:hAnsi="Arial" w:cs="Arial"/>
        </w:rPr>
      </w:pPr>
      <w:hyperlink r:id="rId89" w:anchor="_top" w:history="1">
        <w:r w:rsidRPr="000F387B">
          <w:rPr>
            <w:rFonts w:ascii="Arial" w:eastAsia="Times New Roman" w:hAnsi="Arial" w:cs="Arial"/>
            <w:noProof/>
            <w:color w:val="0000FF"/>
          </w:rPr>
          <w:drawing>
            <wp:inline distT="0" distB="0" distL="0" distR="0">
              <wp:extent cx="152400" cy="152400"/>
              <wp:effectExtent l="0" t="0" r="0" b="0"/>
              <wp:docPr id="36" name="Picture 3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8" w:name="se40.13.63_12264"/>
      <w:bookmarkEnd w:id="18"/>
      <w:r w:rsidRPr="000F387B">
        <w:rPr>
          <w:rFonts w:ascii="Arial" w:eastAsia="Times New Roman" w:hAnsi="Arial" w:cs="Arial"/>
          <w:b/>
          <w:bCs/>
        </w:rPr>
        <w:t>§63.2264   Initial compliance demonstration for a hardwood veneer dryer.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If you operate a hardwood veneer dryer, you must record the annual volume percentage of softwood veneer species processed in the dryer as follows: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(a) Use Equation 1 of this section to calculate the annual volume percentage of softwood species dried: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1847850" cy="387350"/>
            <wp:effectExtent l="0" t="0" r="0" b="0"/>
            <wp:docPr id="35" name="Picture 35" descr="eCFR graphic er72ad04.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eCFR graphic er72ad04.006.gif"/>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847850" cy="3873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91"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SW% = annual volume percent softwood species dried;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SW = softwood veneer dried during the previous 12 months, thousand square feet </w:t>
      </w:r>
      <w:proofErr w:type="gramStart"/>
      <w:r w:rsidRPr="000F387B">
        <w:rPr>
          <w:rFonts w:ascii="Arial" w:eastAsia="Times New Roman" w:hAnsi="Arial" w:cs="Arial"/>
        </w:rPr>
        <w:t xml:space="preserve">( </w:t>
      </w:r>
      <w:r w:rsidRPr="000F387B">
        <w:rPr>
          <w:rFonts w:ascii="Arial" w:eastAsia="Times New Roman" w:hAnsi="Arial" w:cs="Arial"/>
          <w:vertAlign w:val="superscript"/>
        </w:rPr>
        <w:t>3</w:t>
      </w:r>
      <w:proofErr w:type="gramEnd"/>
      <w:r w:rsidRPr="000F387B">
        <w:rPr>
          <w:rFonts w:ascii="Arial" w:eastAsia="Times New Roman" w:hAnsi="Arial" w:cs="Arial"/>
        </w:rPr>
        <w:t>⁄</w:t>
      </w:r>
      <w:r w:rsidRPr="000F387B">
        <w:rPr>
          <w:rFonts w:ascii="Arial" w:eastAsia="Times New Roman" w:hAnsi="Arial" w:cs="Arial"/>
          <w:vertAlign w:val="subscript"/>
        </w:rPr>
        <w:t>8</w:t>
      </w:r>
      <w:r w:rsidRPr="000F387B">
        <w:rPr>
          <w:rFonts w:ascii="Arial" w:eastAsia="Times New Roman" w:hAnsi="Arial" w:cs="Arial"/>
        </w:rPr>
        <w:t xml:space="preserve"> -inch basis);</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T = total softwood and hardwood veneer dried during the previous 12 months, thousand square feet </w:t>
      </w:r>
      <w:proofErr w:type="gramStart"/>
      <w:r w:rsidRPr="000F387B">
        <w:rPr>
          <w:rFonts w:ascii="Arial" w:eastAsia="Times New Roman" w:hAnsi="Arial" w:cs="Arial"/>
        </w:rPr>
        <w:t xml:space="preserve">( </w:t>
      </w:r>
      <w:r w:rsidRPr="000F387B">
        <w:rPr>
          <w:rFonts w:ascii="Arial" w:eastAsia="Times New Roman" w:hAnsi="Arial" w:cs="Arial"/>
          <w:vertAlign w:val="superscript"/>
        </w:rPr>
        <w:t>3</w:t>
      </w:r>
      <w:proofErr w:type="gramEnd"/>
      <w:r w:rsidRPr="000F387B">
        <w:rPr>
          <w:rFonts w:ascii="Arial" w:eastAsia="Times New Roman" w:hAnsi="Arial" w:cs="Arial"/>
        </w:rPr>
        <w:t>⁄</w:t>
      </w:r>
      <w:r w:rsidRPr="000F387B">
        <w:rPr>
          <w:rFonts w:ascii="Arial" w:eastAsia="Times New Roman" w:hAnsi="Arial" w:cs="Arial"/>
          <w:vertAlign w:val="subscript"/>
        </w:rPr>
        <w:t>8</w:t>
      </w:r>
      <w:r w:rsidRPr="000F387B">
        <w:rPr>
          <w:rFonts w:ascii="Arial" w:eastAsia="Times New Roman" w:hAnsi="Arial" w:cs="Arial"/>
        </w:rPr>
        <w:t xml:space="preserve"> -inch basis).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You must designate and clearly identify each hardwood veneer dryer. Submit with the Notification of Compliance Status the annual volume percentage of softwood species dried in the dryer based on your dryer production for the 12 months prior to the compliance date specified for your source in §63.2233. If you did not dry any softwood species in the dryer during the 12 months prior to the compliance date, then you need only to submit a statement indicating that no softwood species were dried. In addition, submit with the Notification of Compliance Status a signed statement by a responsible official that certifies with truth, accuracy, and completeness that the veneer dryer will be used to process less than 30 volume percent softwood species in the future. </w:t>
      </w:r>
    </w:p>
    <w:p w:rsidR="000F387B" w:rsidRPr="000F387B" w:rsidRDefault="000F387B" w:rsidP="000F387B">
      <w:pPr>
        <w:spacing w:before="200" w:after="100" w:afterAutospacing="1" w:line="240" w:lineRule="auto"/>
        <w:rPr>
          <w:rFonts w:ascii="Arial" w:eastAsia="Times New Roman" w:hAnsi="Arial" w:cs="Arial"/>
        </w:rPr>
      </w:pPr>
      <w:hyperlink r:id="rId92" w:anchor="_top" w:history="1">
        <w:r w:rsidRPr="000F387B">
          <w:rPr>
            <w:rFonts w:ascii="Arial" w:eastAsia="Times New Roman" w:hAnsi="Arial" w:cs="Arial"/>
            <w:noProof/>
            <w:color w:val="0000FF"/>
          </w:rPr>
          <w:drawing>
            <wp:inline distT="0" distB="0" distL="0" distR="0">
              <wp:extent cx="152400" cy="152400"/>
              <wp:effectExtent l="0" t="0" r="0" b="0"/>
              <wp:docPr id="34" name="Picture 3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19" w:name="se40.13.63_12265"/>
      <w:bookmarkEnd w:id="19"/>
      <w:r w:rsidRPr="000F387B">
        <w:rPr>
          <w:rFonts w:ascii="Arial" w:eastAsia="Times New Roman" w:hAnsi="Arial" w:cs="Arial"/>
          <w:b/>
          <w:bCs/>
        </w:rPr>
        <w:t>§63.2265   Initial compliance demonstration for a softwood veneer dryer.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If you operate a softwood veneer dryer, you must develop a plan for review and approval for minimizing fugitive emissions from the veneer dryer heated zones, and you must submit the plan with your Notification of Compliance Status. </w:t>
      </w:r>
    </w:p>
    <w:p w:rsidR="000F387B" w:rsidRPr="000F387B" w:rsidRDefault="000F387B" w:rsidP="000F387B">
      <w:pPr>
        <w:spacing w:before="200" w:after="100" w:afterAutospacing="1" w:line="240" w:lineRule="auto"/>
        <w:rPr>
          <w:rFonts w:ascii="Arial" w:eastAsia="Times New Roman" w:hAnsi="Arial" w:cs="Arial"/>
        </w:rPr>
      </w:pPr>
      <w:hyperlink r:id="rId93" w:anchor="_top" w:history="1">
        <w:r w:rsidRPr="000F387B">
          <w:rPr>
            <w:rFonts w:ascii="Arial" w:eastAsia="Times New Roman" w:hAnsi="Arial" w:cs="Arial"/>
            <w:noProof/>
            <w:color w:val="0000FF"/>
          </w:rPr>
          <w:drawing>
            <wp:inline distT="0" distB="0" distL="0" distR="0">
              <wp:extent cx="152400" cy="152400"/>
              <wp:effectExtent l="0" t="0" r="0" b="0"/>
              <wp:docPr id="33" name="Picture 3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0" w:name="se40.13.63_12266"/>
      <w:bookmarkEnd w:id="20"/>
      <w:r w:rsidRPr="000F387B">
        <w:rPr>
          <w:rFonts w:ascii="Arial" w:eastAsia="Times New Roman" w:hAnsi="Arial" w:cs="Arial"/>
          <w:b/>
          <w:bCs/>
        </w:rPr>
        <w:t xml:space="preserve">§63.2266   Initial compliance demonstration for a veneer </w:t>
      </w:r>
      <w:proofErr w:type="spellStart"/>
      <w:r w:rsidRPr="000F387B">
        <w:rPr>
          <w:rFonts w:ascii="Arial" w:eastAsia="Times New Roman" w:hAnsi="Arial" w:cs="Arial"/>
          <w:b/>
          <w:bCs/>
        </w:rPr>
        <w:t>redryer</w:t>
      </w:r>
      <w:proofErr w:type="spellEnd"/>
      <w:r w:rsidRPr="000F387B">
        <w:rPr>
          <w:rFonts w:ascii="Arial" w:eastAsia="Times New Roman" w:hAnsi="Arial" w:cs="Arial"/>
          <w:b/>
          <w:bCs/>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If you operate a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you must record the inlet moisture content of the veneer processed in the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according to §63.2269(a) and (c) and §63.2270 for a minimum of 30 calendar days. You must designate and clearly identify each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You must submit the highest recorded 24-hour average inlet veneer moisture content with your Notification of Compliance Status to show that your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processes veneer with an inlet moisture content of less than or equal to 25 percent (by weight, dry basis). In addition, submit with the Notification of Compliance Status a signed statement by a responsible official that certifies with truth, accuracy, and completeness that the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will dry veneer with a moisture content less than 25 percent (by weight, dry basis) in the future. </w:t>
      </w:r>
    </w:p>
    <w:p w:rsidR="000F387B" w:rsidRPr="000F387B" w:rsidRDefault="000F387B" w:rsidP="000F387B">
      <w:pPr>
        <w:spacing w:before="200" w:after="100" w:afterAutospacing="1" w:line="240" w:lineRule="auto"/>
        <w:rPr>
          <w:rFonts w:ascii="Arial" w:eastAsia="Times New Roman" w:hAnsi="Arial" w:cs="Arial"/>
        </w:rPr>
      </w:pPr>
      <w:hyperlink r:id="rId94" w:anchor="_top" w:history="1">
        <w:r w:rsidRPr="000F387B">
          <w:rPr>
            <w:rFonts w:ascii="Arial" w:eastAsia="Times New Roman" w:hAnsi="Arial" w:cs="Arial"/>
            <w:noProof/>
            <w:color w:val="0000FF"/>
          </w:rPr>
          <w:drawing>
            <wp:inline distT="0" distB="0" distL="0" distR="0">
              <wp:extent cx="152400" cy="152400"/>
              <wp:effectExtent l="0" t="0" r="0" b="0"/>
              <wp:docPr id="32" name="Picture 32"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1" w:name="se40.13.63_12267"/>
      <w:bookmarkEnd w:id="21"/>
      <w:r w:rsidRPr="000F387B">
        <w:rPr>
          <w:rFonts w:ascii="Arial" w:eastAsia="Times New Roman" w:hAnsi="Arial" w:cs="Arial"/>
          <w:b/>
          <w:bCs/>
        </w:rPr>
        <w:t>§63.2267   Initial compliance demonstration for a reconstituted wood product press or board cooler.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If you operate a reconstituted wood product press at a new or existing affected source or a reconstituted wood product board cooler at a new affected source, then you must either use a wood products enclosure as defined in §63.2292 or measure the capture efficiency of the capture device for the press or board cooler using Methods 204 and 204A through 204F of 40 CFR part 51, appendix M (as appropriate), or using the alternative tracer gas method contained in appendix A to this subpart. You must submit documentation that the wood products enclosure meets the press enclosure design criteria in §63.2292 or the results of the capture efficiency verification with your Notification of Compliance Status. </w:t>
      </w:r>
    </w:p>
    <w:p w:rsidR="000F387B" w:rsidRPr="000F387B" w:rsidRDefault="000F387B" w:rsidP="000F387B">
      <w:pPr>
        <w:spacing w:before="200" w:after="100" w:afterAutospacing="1" w:line="240" w:lineRule="auto"/>
        <w:rPr>
          <w:rFonts w:ascii="Arial" w:eastAsia="Times New Roman" w:hAnsi="Arial" w:cs="Arial"/>
        </w:rPr>
      </w:pPr>
      <w:hyperlink r:id="rId95" w:anchor="_top" w:history="1">
        <w:r w:rsidRPr="000F387B">
          <w:rPr>
            <w:rFonts w:ascii="Arial" w:eastAsia="Times New Roman" w:hAnsi="Arial" w:cs="Arial"/>
            <w:noProof/>
            <w:color w:val="0000FF"/>
          </w:rPr>
          <w:drawing>
            <wp:inline distT="0" distB="0" distL="0" distR="0">
              <wp:extent cx="152400" cy="152400"/>
              <wp:effectExtent l="0" t="0" r="0" b="0"/>
              <wp:docPr id="31" name="Picture 3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2" w:name="se40.13.63_12268"/>
      <w:bookmarkEnd w:id="22"/>
      <w:r w:rsidRPr="000F387B">
        <w:rPr>
          <w:rFonts w:ascii="Arial" w:eastAsia="Times New Roman" w:hAnsi="Arial" w:cs="Arial"/>
          <w:b/>
          <w:bCs/>
        </w:rPr>
        <w:t>§63.2268   Initial compliance demonstration for a wet control device.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If you use a wet control device as the sole means of reducing HAP emissions, you must develop and implement a plan for review and approval to address how organic HAP captured in the wastewater from the wet control device is contained or destroyed to minimize re-release to the atmosphere such that the desired emissions reductions are obtained. You must submit the plan with your Notification of Compliance Status. </w:t>
      </w:r>
    </w:p>
    <w:p w:rsidR="000F387B" w:rsidRPr="000F387B" w:rsidRDefault="000F387B" w:rsidP="000F387B">
      <w:pPr>
        <w:spacing w:before="200" w:after="100" w:afterAutospacing="1" w:line="240" w:lineRule="auto"/>
        <w:rPr>
          <w:rFonts w:ascii="Arial" w:eastAsia="Times New Roman" w:hAnsi="Arial" w:cs="Arial"/>
        </w:rPr>
      </w:pPr>
      <w:hyperlink r:id="rId96" w:anchor="_top" w:history="1">
        <w:r w:rsidRPr="000F387B">
          <w:rPr>
            <w:rFonts w:ascii="Arial" w:eastAsia="Times New Roman" w:hAnsi="Arial" w:cs="Arial"/>
            <w:noProof/>
            <w:color w:val="0000FF"/>
          </w:rPr>
          <w:drawing>
            <wp:inline distT="0" distB="0" distL="0" distR="0">
              <wp:extent cx="152400" cy="152400"/>
              <wp:effectExtent l="0" t="0" r="0" b="0"/>
              <wp:docPr id="30" name="Picture 30"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3" w:name="se40.13.63_12269"/>
      <w:bookmarkEnd w:id="23"/>
      <w:r w:rsidRPr="000F387B">
        <w:rPr>
          <w:rFonts w:ascii="Arial" w:eastAsia="Times New Roman" w:hAnsi="Arial" w:cs="Arial"/>
          <w:b/>
          <w:bCs/>
        </w:rPr>
        <w:t>§63.2269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are my monitoring installation, operation, and maintenance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(a) </w:t>
      </w:r>
      <w:r w:rsidRPr="000F387B">
        <w:rPr>
          <w:rFonts w:ascii="Arial" w:eastAsia="Times New Roman" w:hAnsi="Arial" w:cs="Arial"/>
          <w:i/>
          <w:iCs/>
        </w:rPr>
        <w:t>General continuous parameter monitoring requirements.</w:t>
      </w:r>
      <w:r w:rsidRPr="000F387B">
        <w:rPr>
          <w:rFonts w:ascii="Arial" w:eastAsia="Times New Roman" w:hAnsi="Arial" w:cs="Arial"/>
        </w:rPr>
        <w:t xml:space="preserve"> You must install, operate, and maintain each continuous parameter monitoring system (CPMS) according to paragraphs (a</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The CPMS must be capable of completing a minimum of one cycle of operation (sampling, analyzing, and recording) for each successive 15-minute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At all times, you must maintain the monitoring equipment including, but not limited to, maintaining necessary parts for routine repairs of the monitoring equipment.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Record the results of each inspection, calibration, and validation check.</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(b) </w:t>
      </w:r>
      <w:r w:rsidRPr="000F387B">
        <w:rPr>
          <w:rFonts w:ascii="Arial" w:eastAsia="Times New Roman" w:hAnsi="Arial" w:cs="Arial"/>
          <w:i/>
          <w:iCs/>
        </w:rPr>
        <w:t>Temperature monitoring.</w:t>
      </w:r>
      <w:r w:rsidRPr="000F387B">
        <w:rPr>
          <w:rFonts w:ascii="Arial" w:eastAsia="Times New Roman" w:hAnsi="Arial" w:cs="Arial"/>
        </w:rPr>
        <w:t xml:space="preserve"> For each temperature monitoring device, you must meet the requirements in paragraphs (a) and (b</w:t>
      </w:r>
      <w:proofErr w:type="gramStart"/>
      <w:r w:rsidRPr="000F387B">
        <w:rPr>
          <w:rFonts w:ascii="Arial" w:eastAsia="Times New Roman" w:hAnsi="Arial" w:cs="Arial"/>
        </w:rPr>
        <w:t>)(</w:t>
      </w:r>
      <w:proofErr w:type="gramEnd"/>
      <w:r w:rsidRPr="000F387B">
        <w:rPr>
          <w:rFonts w:ascii="Arial" w:eastAsia="Times New Roman" w:hAnsi="Arial" w:cs="Arial"/>
        </w:rPr>
        <w:t>1) through (6)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Locate the temperature sensor in a position that provides a representative temperature.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Use a temperature sensor with a minimum accuracy of 4 °F or 0.75 percent of the temperature value, whichever is larger.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If a chart recorder is used, it must have a sensitivity with minor divisions not more than 20 °F.</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(4) Perform an electronic calibration at least semiannually according to the procedures in the manufacturer's </w:t>
      </w:r>
      <w:proofErr w:type="spellStart"/>
      <w:r w:rsidRPr="000F387B">
        <w:rPr>
          <w:rFonts w:ascii="Arial" w:eastAsia="Times New Roman" w:hAnsi="Arial" w:cs="Arial"/>
        </w:rPr>
        <w:t>owners manual</w:t>
      </w:r>
      <w:proofErr w:type="spellEnd"/>
      <w:r w:rsidRPr="000F387B">
        <w:rPr>
          <w:rFonts w:ascii="Arial" w:eastAsia="Times New Roman" w:hAnsi="Arial" w:cs="Arial"/>
        </w:rPr>
        <w:t>. Following the electronic calibration, you must conduct a temperature sensor validation check in which a second or redundant temperature sensor placed nearby the process temperature sensor must yield a reading within 30 °F of the process temperature sensor's reading.</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Conduct calibration and validation checks any time the sensor exceeds the manufacturer's specified maximum operating temperature range or install a new temperature sensor.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 At least quarterly, inspect all components for integrity and all electrical connections for continuity, oxidation, and galvanic corrosion.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Wood moisture monitoring. For each furnish or veneer moisture meter, you must meet the requirements in paragraphs (a</w:t>
      </w:r>
      <w:proofErr w:type="gramStart"/>
      <w:r w:rsidRPr="000F387B">
        <w:rPr>
          <w:rFonts w:ascii="Arial" w:eastAsia="Times New Roman" w:hAnsi="Arial" w:cs="Arial"/>
        </w:rPr>
        <w:t>)(</w:t>
      </w:r>
      <w:proofErr w:type="gramEnd"/>
      <w:r w:rsidRPr="000F387B">
        <w:rPr>
          <w:rFonts w:ascii="Arial" w:eastAsia="Times New Roman" w:hAnsi="Arial" w:cs="Arial"/>
        </w:rPr>
        <w:t>1) through (3) and paragraphs (c)(1) through (5)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 For dry rotary dryers, use a continuous moisture monitor with a minimum accuracy of 1 percent (dry basis) moisture or better in the 25 to 35 percent (dry basis) moisture content range. For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use a continuous moisture monitor with a minimum accuracy of 3 percent (dry basis) moisture or better in the 15 to 25 percent (dry basis) moisture content range. Alternatively, you may use a continuous moisture monitor with a minimum accuracy of 5 percent (dry basis) moisture or better for dry rotary dryers used to dry furnish with less than 25 percent (dry basis) moisture or for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used to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veneer with less than 20 percent (dry basis) moisture.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Locate the moisture monitor in a position that provides a representative measure of furnish or veneer moisture.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Calibrate the moisture monitor based on the procedures specified by the moisture monitor manufacturer at least once per semiannual compliance period (or more frequently if recommended by the moisture monitor manufacturer).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At least quarterly, inspect all components of the moisture monitor for integrity and all electrical connections for continuity.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Use Equation 1 of this section to convert percent moisture measurements wet basis to a dry basis:</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2571750" cy="438150"/>
            <wp:effectExtent l="0" t="0" r="0" b="0"/>
            <wp:docPr id="29" name="Picture 29" descr="eCFR graphic er72ad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eCFR graphic er72ad04.012.gif"/>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2571750" cy="4381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98"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MC</w:t>
      </w:r>
      <w:r w:rsidRPr="000F387B">
        <w:rPr>
          <w:rFonts w:ascii="Arial" w:eastAsia="Times New Roman" w:hAnsi="Arial" w:cs="Arial"/>
          <w:vertAlign w:val="subscript"/>
        </w:rPr>
        <w:t>dry</w:t>
      </w:r>
      <w:proofErr w:type="spellEnd"/>
      <w:r w:rsidRPr="000F387B">
        <w:rPr>
          <w:rFonts w:ascii="Arial" w:eastAsia="Times New Roman" w:hAnsi="Arial" w:cs="Arial"/>
        </w:rPr>
        <w:t xml:space="preserve"> = percent moisture content of wood material (weight percent, dry basis);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MC</w:t>
      </w:r>
      <w:r w:rsidRPr="000F387B">
        <w:rPr>
          <w:rFonts w:ascii="Arial" w:eastAsia="Times New Roman" w:hAnsi="Arial" w:cs="Arial"/>
          <w:vertAlign w:val="subscript"/>
        </w:rPr>
        <w:t>wet</w:t>
      </w:r>
      <w:proofErr w:type="spellEnd"/>
      <w:r w:rsidRPr="000F387B">
        <w:rPr>
          <w:rFonts w:ascii="Arial" w:eastAsia="Times New Roman" w:hAnsi="Arial" w:cs="Arial"/>
        </w:rPr>
        <w:t xml:space="preserve"> = percent moisture content of wood material (weight percent, wet basis).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(d) </w:t>
      </w:r>
      <w:r w:rsidRPr="000F387B">
        <w:rPr>
          <w:rFonts w:ascii="Arial" w:eastAsia="Times New Roman" w:hAnsi="Arial" w:cs="Arial"/>
          <w:i/>
          <w:iCs/>
        </w:rPr>
        <w:t>Continuous emission monitoring system(s).</w:t>
      </w:r>
      <w:r w:rsidRPr="000F387B">
        <w:rPr>
          <w:rFonts w:ascii="Arial" w:eastAsia="Times New Roman" w:hAnsi="Arial" w:cs="Arial"/>
        </w:rPr>
        <w:t xml:space="preserve"> Each CEMS must be installed, operated, and maintained according to paragraphs (d</w:t>
      </w:r>
      <w:proofErr w:type="gramStart"/>
      <w:r w:rsidRPr="000F387B">
        <w:rPr>
          <w:rFonts w:ascii="Arial" w:eastAsia="Times New Roman" w:hAnsi="Arial" w:cs="Arial"/>
        </w:rPr>
        <w:t>)(</w:t>
      </w:r>
      <w:proofErr w:type="gramEnd"/>
      <w:r w:rsidRPr="000F387B">
        <w:rPr>
          <w:rFonts w:ascii="Arial" w:eastAsia="Times New Roman" w:hAnsi="Arial" w:cs="Arial"/>
        </w:rPr>
        <w:t>1) through (4)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Each CEMS for monitoring THC concentration must be installed, operated, and maintained according to Performance Specification 8 of 40 CFR part 60, appendix B. You must also comply with Procedure 1 of 40 CFR part 60, appendix F.</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must conduct a performance evaluation of each CEMS according to the requirements in §63.8 and according to Performance Specification 8 of 40 CFR part 60, appendix B.</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As specified in §63.8(c</w:t>
      </w:r>
      <w:proofErr w:type="gramStart"/>
      <w:r w:rsidRPr="000F387B">
        <w:rPr>
          <w:rFonts w:ascii="Arial" w:eastAsia="Times New Roman" w:hAnsi="Arial" w:cs="Arial"/>
        </w:rPr>
        <w:t>)(</w:t>
      </w:r>
      <w:proofErr w:type="gramEnd"/>
      <w:r w:rsidRPr="000F387B">
        <w:rPr>
          <w:rFonts w:ascii="Arial" w:eastAsia="Times New Roman" w:hAnsi="Arial" w:cs="Arial"/>
        </w:rPr>
        <w:t>4)(ii), each CEMS must complete a minimum of one cycle of operation (sampling, analyzing, and data recording) for each successive 15-minute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The CEMS data must be reduced as specified in §63.8(g</w:t>
      </w:r>
      <w:proofErr w:type="gramStart"/>
      <w:r w:rsidRPr="000F387B">
        <w:rPr>
          <w:rFonts w:ascii="Arial" w:eastAsia="Times New Roman" w:hAnsi="Arial" w:cs="Arial"/>
        </w:rPr>
        <w:t>)(</w:t>
      </w:r>
      <w:proofErr w:type="gramEnd"/>
      <w:r w:rsidRPr="000F387B">
        <w:rPr>
          <w:rFonts w:ascii="Arial" w:eastAsia="Times New Roman" w:hAnsi="Arial" w:cs="Arial"/>
        </w:rPr>
        <w:t xml:space="preserve">2) and §63.2270(d) and (e).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8372, Feb. 16, 2006]</w:t>
      </w:r>
    </w:p>
    <w:p w:rsidR="000F387B" w:rsidRPr="000F387B" w:rsidRDefault="000F387B" w:rsidP="000F387B">
      <w:pPr>
        <w:spacing w:before="200" w:after="100" w:afterAutospacing="1" w:line="240" w:lineRule="auto"/>
        <w:rPr>
          <w:rFonts w:ascii="Arial" w:eastAsia="Times New Roman" w:hAnsi="Arial" w:cs="Arial"/>
        </w:rPr>
      </w:pPr>
      <w:hyperlink r:id="rId99" w:anchor="_top" w:history="1">
        <w:r w:rsidRPr="000F387B">
          <w:rPr>
            <w:rFonts w:ascii="Arial" w:eastAsia="Times New Roman" w:hAnsi="Arial" w:cs="Arial"/>
            <w:noProof/>
            <w:color w:val="0000FF"/>
          </w:rPr>
          <w:drawing>
            <wp:inline distT="0" distB="0" distL="0" distR="0">
              <wp:extent cx="152400" cy="152400"/>
              <wp:effectExtent l="0" t="0" r="0" b="0"/>
              <wp:docPr id="28" name="Picture 2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24" w:name="sg40.13.63_12269.sg38"/>
      <w:bookmarkEnd w:id="24"/>
      <w:r w:rsidRPr="000F387B">
        <w:rPr>
          <w:rFonts w:ascii="Arial" w:eastAsia="Times New Roman" w:hAnsi="Arial" w:cs="Arial"/>
          <w:b/>
          <w:bCs/>
          <w:smallCaps/>
        </w:rPr>
        <w:t>Continuous Compliance Requirements</w:t>
      </w:r>
    </w:p>
    <w:p w:rsidR="000F387B" w:rsidRPr="000F387B" w:rsidRDefault="000F387B" w:rsidP="000F387B">
      <w:pPr>
        <w:spacing w:before="200" w:after="100" w:afterAutospacing="1" w:line="240" w:lineRule="auto"/>
        <w:rPr>
          <w:rFonts w:ascii="Arial" w:eastAsia="Times New Roman" w:hAnsi="Arial" w:cs="Arial"/>
        </w:rPr>
      </w:pPr>
      <w:hyperlink r:id="rId100" w:anchor="_top" w:history="1">
        <w:r w:rsidRPr="000F387B">
          <w:rPr>
            <w:rFonts w:ascii="Arial" w:eastAsia="Times New Roman" w:hAnsi="Arial" w:cs="Arial"/>
            <w:noProof/>
            <w:color w:val="0000FF"/>
          </w:rPr>
          <w:drawing>
            <wp:inline distT="0" distB="0" distL="0" distR="0">
              <wp:extent cx="152400" cy="152400"/>
              <wp:effectExtent l="0" t="0" r="0" b="0"/>
              <wp:docPr id="27" name="Picture 2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5" w:name="se40.13.63_12270"/>
      <w:bookmarkEnd w:id="25"/>
      <w:r w:rsidRPr="000F387B">
        <w:rPr>
          <w:rFonts w:ascii="Arial" w:eastAsia="Times New Roman" w:hAnsi="Arial" w:cs="Arial"/>
          <w:b/>
          <w:bCs/>
        </w:rPr>
        <w:t>§63.2270   </w:t>
      </w:r>
      <w:proofErr w:type="gramStart"/>
      <w:r w:rsidRPr="000F387B">
        <w:rPr>
          <w:rFonts w:ascii="Arial" w:eastAsia="Times New Roman" w:hAnsi="Arial" w:cs="Arial"/>
          <w:b/>
          <w:bCs/>
        </w:rPr>
        <w:t>How</w:t>
      </w:r>
      <w:proofErr w:type="gramEnd"/>
      <w:r w:rsidRPr="000F387B">
        <w:rPr>
          <w:rFonts w:ascii="Arial" w:eastAsia="Times New Roman" w:hAnsi="Arial" w:cs="Arial"/>
          <w:b/>
          <w:bCs/>
        </w:rPr>
        <w:t xml:space="preserve"> do I monitor and collect data to demonstrate continuous compliance?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monitor and collect data according to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Except for, as appropriate, monitor malfunctions, associated repairs, and required quality assurance or control activities (including, as applicable, calibration checks and required zero and span adjustments), you must conduct all monitoring in continuous operation at all times that the process unit is operating. For purposes of calculating data averages, you must not use data recorded during monitoring malfunctions, associated repairs, out-of-control periods, or required quality assurance or control activities. You must use all the data collected during all other periods in assessing compliance. A monitoring malfunction is any sudden, infrequent, not reasonably preventable failure of the monitoring to provide valid data. Monitoring failures that are caused in part by poor maintenance or careless operation are not malfunctions. Any period for which the monitoring system is out-of-control and data are not available for required calculations constitutes a deviation from the monitoring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You may not use data recorded during monitoring malfunctions, associated repairs, and required quality assurance or control activities; data recorded during periods of startup, shutdown, and malfunction; or data recorded during periods of control device downtime covered in any approved routine control device maintenance exemption in data averages and calculations used to report emission or operating levels, nor may such data be used in fulfilling a minimum data availability requirement, if applicable. You must use all the data collected during all other periods in assessing the operation of the control system.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Except as provided in paragraph (e) of this section, determine the 3-hour block average of all recorded readings, calculated after every 3 hours of operation as the average of the evenly spaced recorded readings in the previous 3 operating hours (excluding periods described in paragraphs (b) and (c)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(e) For dry rotary dryer and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wood moisture monitoring, dry rotary dryer temperature monitoring,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monitoring, and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outlet THC monitoring, determine the 24-hour block average of all recorded readings, calculated after every 24 hours of operation as the average of the evenly spaced recorded readings in the previous 24 operating hours (excluding periods described in paragraphs (b) and (c)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(f) To calculate the data averages for each 3-hour or 24-hour averaging period, you must have at least 75 percent of the required recorded readings for that period using only recorded readings that are based on valid data (</w:t>
      </w:r>
      <w:r w:rsidRPr="000F387B">
        <w:rPr>
          <w:rFonts w:ascii="Arial" w:eastAsia="Times New Roman" w:hAnsi="Arial" w:cs="Arial"/>
          <w:i/>
          <w:iCs/>
        </w:rPr>
        <w:t>i.e.</w:t>
      </w:r>
      <w:r w:rsidRPr="000F387B">
        <w:rPr>
          <w:rFonts w:ascii="Arial" w:eastAsia="Times New Roman" w:hAnsi="Arial" w:cs="Arial"/>
        </w:rPr>
        <w:t xml:space="preserve">, not from periods described in paragraphs (b) and (c) of this section). </w:t>
      </w:r>
    </w:p>
    <w:p w:rsidR="000F387B" w:rsidRPr="000F387B" w:rsidRDefault="000F387B" w:rsidP="000F387B">
      <w:pPr>
        <w:spacing w:before="200" w:after="100" w:afterAutospacing="1" w:line="240" w:lineRule="auto"/>
        <w:rPr>
          <w:rFonts w:ascii="Arial" w:eastAsia="Times New Roman" w:hAnsi="Arial" w:cs="Arial"/>
        </w:rPr>
      </w:pPr>
      <w:hyperlink r:id="rId101" w:anchor="_top" w:history="1">
        <w:r w:rsidRPr="000F387B">
          <w:rPr>
            <w:rFonts w:ascii="Arial" w:eastAsia="Times New Roman" w:hAnsi="Arial" w:cs="Arial"/>
            <w:noProof/>
            <w:color w:val="0000FF"/>
          </w:rPr>
          <w:drawing>
            <wp:inline distT="0" distB="0" distL="0" distR="0">
              <wp:extent cx="152400" cy="152400"/>
              <wp:effectExtent l="0" t="0" r="0" b="0"/>
              <wp:docPr id="26" name="Picture 2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6" w:name="se40.13.63_12271"/>
      <w:bookmarkEnd w:id="26"/>
      <w:r w:rsidRPr="000F387B">
        <w:rPr>
          <w:rFonts w:ascii="Arial" w:eastAsia="Times New Roman" w:hAnsi="Arial" w:cs="Arial"/>
          <w:b/>
          <w:bCs/>
        </w:rPr>
        <w:t>§63.2271   </w:t>
      </w:r>
      <w:proofErr w:type="gramStart"/>
      <w:r w:rsidRPr="000F387B">
        <w:rPr>
          <w:rFonts w:ascii="Arial" w:eastAsia="Times New Roman" w:hAnsi="Arial" w:cs="Arial"/>
          <w:b/>
          <w:bCs/>
        </w:rPr>
        <w:t>How</w:t>
      </w:r>
      <w:proofErr w:type="gramEnd"/>
      <w:r w:rsidRPr="000F387B">
        <w:rPr>
          <w:rFonts w:ascii="Arial" w:eastAsia="Times New Roman" w:hAnsi="Arial" w:cs="Arial"/>
          <w:b/>
          <w:bCs/>
        </w:rPr>
        <w:t xml:space="preserve"> do I demonstrate continuous compliance with the compliance options, operating requirements, and work practice requirements?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demonstrate continuous compliance with the compliance options, operating requirements, and work practice requirements in §§63.2240 and 63.2241 that apply to you according to the methods specified in Tables 7 and 8 to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You must report each instance in which you did not meet each compliance option, operating requirement, and work practice requirement in Tables 7 and 8 to this subpart that applies to you. This includes periods of startup, shutdown, and malfunction and periods of control device maintenance specified in paragraphs (b</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 These instances are deviations from the compliance options, operating requirements, and work practice requirements in this subpart. These deviations must be reported according to the requirements in §63.2281.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 [Reserved] </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Consistent with §§63.6(e) and 63.7(e)(1), deviations that occur during a period of startup, shutdown, or malfunction are not violations if you demonstrate to the EPA Administrator's satisfaction that you were operating in accordance with §63.6(e)(1). The EPA Administrator will determine whether deviations that occur during a period of startup, shutdown, or malfunction are violations, according to the provisions in §63.6(e).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(3) Deviations that occur during periods of control device maintenance covered by any approved routine control device maintenance exemption are not violations if you demonstrate to the EPA Administrator's satisfaction that you were operating in accordance with the approved routine control device maintenance exemption.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20463, Apr. 20, 2006]</w:t>
      </w:r>
    </w:p>
    <w:p w:rsidR="000F387B" w:rsidRPr="000F387B" w:rsidRDefault="000F387B" w:rsidP="000F387B">
      <w:pPr>
        <w:spacing w:before="200" w:after="100" w:afterAutospacing="1" w:line="240" w:lineRule="auto"/>
        <w:rPr>
          <w:rFonts w:ascii="Arial" w:eastAsia="Times New Roman" w:hAnsi="Arial" w:cs="Arial"/>
        </w:rPr>
      </w:pPr>
      <w:hyperlink r:id="rId102" w:anchor="_top" w:history="1">
        <w:r w:rsidRPr="000F387B">
          <w:rPr>
            <w:rFonts w:ascii="Arial" w:eastAsia="Times New Roman" w:hAnsi="Arial" w:cs="Arial"/>
            <w:noProof/>
            <w:color w:val="0000FF"/>
          </w:rPr>
          <w:drawing>
            <wp:inline distT="0" distB="0" distL="0" distR="0">
              <wp:extent cx="152400" cy="152400"/>
              <wp:effectExtent l="0" t="0" r="0" b="0"/>
              <wp:docPr id="25" name="Picture 2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27" w:name="sg40.13.63_12271.sg39"/>
      <w:bookmarkEnd w:id="27"/>
      <w:r w:rsidRPr="000F387B">
        <w:rPr>
          <w:rFonts w:ascii="Arial" w:eastAsia="Times New Roman" w:hAnsi="Arial" w:cs="Arial"/>
          <w:b/>
          <w:bCs/>
          <w:smallCaps/>
        </w:rPr>
        <w:t>Notifications, Reports, and Records</w:t>
      </w:r>
    </w:p>
    <w:p w:rsidR="000F387B" w:rsidRPr="000F387B" w:rsidRDefault="000F387B" w:rsidP="000F387B">
      <w:pPr>
        <w:spacing w:before="200" w:after="100" w:afterAutospacing="1" w:line="240" w:lineRule="auto"/>
        <w:rPr>
          <w:rFonts w:ascii="Arial" w:eastAsia="Times New Roman" w:hAnsi="Arial" w:cs="Arial"/>
        </w:rPr>
      </w:pPr>
      <w:hyperlink r:id="rId103" w:anchor="_top" w:history="1">
        <w:r w:rsidRPr="000F387B">
          <w:rPr>
            <w:rFonts w:ascii="Arial" w:eastAsia="Times New Roman" w:hAnsi="Arial" w:cs="Arial"/>
            <w:noProof/>
            <w:color w:val="0000FF"/>
          </w:rPr>
          <w:drawing>
            <wp:inline distT="0" distB="0" distL="0" distR="0">
              <wp:extent cx="152400" cy="152400"/>
              <wp:effectExtent l="0" t="0" r="0" b="0"/>
              <wp:docPr id="24" name="Picture 2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8" w:name="se40.13.63_12280"/>
      <w:bookmarkEnd w:id="28"/>
      <w:r w:rsidRPr="000F387B">
        <w:rPr>
          <w:rFonts w:ascii="Arial" w:eastAsia="Times New Roman" w:hAnsi="Arial" w:cs="Arial"/>
          <w:b/>
          <w:bCs/>
        </w:rPr>
        <w:t>§63.2280   What notifications must I submit and when?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submit all of the notifications in §§63.7(b) and (c), 63.8(e), (f</w:t>
      </w:r>
      <w:proofErr w:type="gramStart"/>
      <w:r w:rsidRPr="000F387B">
        <w:rPr>
          <w:rFonts w:ascii="Arial" w:eastAsia="Times New Roman" w:hAnsi="Arial" w:cs="Arial"/>
        </w:rPr>
        <w:t>)(</w:t>
      </w:r>
      <w:proofErr w:type="gramEnd"/>
      <w:r w:rsidRPr="000F387B">
        <w:rPr>
          <w:rFonts w:ascii="Arial" w:eastAsia="Times New Roman" w:hAnsi="Arial" w:cs="Arial"/>
        </w:rPr>
        <w:t>4) and (f)(6), 63.9 (b) through (e), and (g) and (h) by the dates specified.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You must submit an Initial Notification no later than 120 calendar days after September 28, 2004, or after initial startup, whichever is later, as specified in §63.9(b)(2).</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If you are required to conduct a performance test, you must submit a written notification of intent to conduct a performance test at least 60 calendar days before the performance test is scheduled to begin as specified in §63.7(b)(1).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If you are required to conduct a performance test, design evaluation, or other initial compliance demonstration as specified in Tables 4, 5, and 6 to this subpart, you must submit a Notification of Compliance Status as specified in §63.9(h)(2)(ii).</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For each initial compliance demonstration required in Table 5 or 6 to this subpart that does not include a performance test, you must submit the Notification of Compliance Status before the close of business on the 30th calendar day following the completion of the initial compliance demonstration.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For each initial compliance demonstration required in Tables 5 and 6 to this subpart that includes a performance test conducted according to the requirements in Table 4 to this subpart, you must submit the Notification of Compliance Status, including the performance test results, before the close of business on the 60th calendar day following the completion of the performance test according to §63.10(d</w:t>
      </w:r>
      <w:proofErr w:type="gramStart"/>
      <w:r w:rsidRPr="000F387B">
        <w:rPr>
          <w:rFonts w:ascii="Arial" w:eastAsia="Times New Roman" w:hAnsi="Arial" w:cs="Arial"/>
        </w:rPr>
        <w:t>)(</w:t>
      </w:r>
      <w:proofErr w:type="gramEnd"/>
      <w:r w:rsidRPr="000F387B">
        <w:rPr>
          <w:rFonts w:ascii="Arial" w:eastAsia="Times New Roman" w:hAnsi="Arial" w:cs="Arial"/>
        </w:rPr>
        <w:t>2).</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(e) If you request a routine control device maintenance exemption according to §63.2251, you must submit your request for the exemption no later than 30 days before the compliance date.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(f) If you use the emissions averaging compliance option in §63.2240(c), you must submit an Emissions Averaging Plan to the EPA Administrator for approval no later than 1 year before the compliance date or no later than 1 year before the date you would begin using an emissions average, whichever is later. The Emissions Averaging Plan must include the information in paragraphs (f</w:t>
      </w:r>
      <w:proofErr w:type="gramStart"/>
      <w:r w:rsidRPr="000F387B">
        <w:rPr>
          <w:rFonts w:ascii="Arial" w:eastAsia="Times New Roman" w:hAnsi="Arial" w:cs="Arial"/>
        </w:rPr>
        <w:t>)(</w:t>
      </w:r>
      <w:proofErr w:type="gramEnd"/>
      <w:r w:rsidRPr="000F387B">
        <w:rPr>
          <w:rFonts w:ascii="Arial" w:eastAsia="Times New Roman" w:hAnsi="Arial" w:cs="Arial"/>
        </w:rPr>
        <w:t>1) through (6)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Identification of all the process units to be included in the emissions average indicating which process units will be used to generate credits, and which process units that are subject to compliance options in Tables 1A and 1B to this subpart will be uncontrolled (used to generate debits) or under-controlled (used to generate debits and credits).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Description of the control system used to generate emission credits for each process unit used to generate credits.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Determination of the total HAP control efficiency for the control system used to generate emission credits for each credit-generating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Calculation of the RMR and AMR, as calculated using Equations 1 through 3 of §63.2240(c</w:t>
      </w:r>
      <w:proofErr w:type="gramStart"/>
      <w:r w:rsidRPr="000F387B">
        <w:rPr>
          <w:rFonts w:ascii="Arial" w:eastAsia="Times New Roman" w:hAnsi="Arial" w:cs="Arial"/>
        </w:rPr>
        <w:t>)(</w:t>
      </w:r>
      <w:proofErr w:type="gramEnd"/>
      <w:r w:rsidRPr="000F387B">
        <w:rPr>
          <w:rFonts w:ascii="Arial" w:eastAsia="Times New Roman" w:hAnsi="Arial" w:cs="Arial"/>
        </w:rPr>
        <w:t>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Documentation of total HAP measurements made according to §63.2240(c</w:t>
      </w:r>
      <w:proofErr w:type="gramStart"/>
      <w:r w:rsidRPr="000F387B">
        <w:rPr>
          <w:rFonts w:ascii="Arial" w:eastAsia="Times New Roman" w:hAnsi="Arial" w:cs="Arial"/>
        </w:rPr>
        <w:t>)(</w:t>
      </w:r>
      <w:proofErr w:type="gramEnd"/>
      <w:r w:rsidRPr="000F387B">
        <w:rPr>
          <w:rFonts w:ascii="Arial" w:eastAsia="Times New Roman" w:hAnsi="Arial" w:cs="Arial"/>
        </w:rPr>
        <w:t>2)(iv) and other relevant documentation to support calculation of the RMR and AMR.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 A summary of the operating parameters you will monitor and monitoring methods for each debit-generating and credit-generating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(g) You must notify the EPA Administrator within 30 days before you take any of the actions specified in paragraphs (g</w:t>
      </w:r>
      <w:proofErr w:type="gramStart"/>
      <w:r w:rsidRPr="000F387B">
        <w:rPr>
          <w:rFonts w:ascii="Arial" w:eastAsia="Times New Roman" w:hAnsi="Arial" w:cs="Arial"/>
        </w:rPr>
        <w:t>)(</w:t>
      </w:r>
      <w:proofErr w:type="gramEnd"/>
      <w:r w:rsidRPr="000F387B">
        <w:rPr>
          <w:rFonts w:ascii="Arial" w:eastAsia="Times New Roman" w:hAnsi="Arial" w:cs="Arial"/>
        </w:rPr>
        <w:t>1) through (3)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You modify or replace the control system for any process unit subject to the compliance options and operating requirements in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You shut down any process unit included in your Emissions Averaging Plan.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(3) You change a continuous monitoring parameter or the value or range of values of a continuous monitoring parameter for any process unit or control device. </w:t>
      </w:r>
    </w:p>
    <w:p w:rsidR="000F387B" w:rsidRPr="000F387B" w:rsidRDefault="000F387B" w:rsidP="000F387B">
      <w:pPr>
        <w:spacing w:before="200" w:after="100" w:afterAutospacing="1" w:line="240" w:lineRule="auto"/>
        <w:rPr>
          <w:rFonts w:ascii="Arial" w:eastAsia="Times New Roman" w:hAnsi="Arial" w:cs="Arial"/>
        </w:rPr>
      </w:pPr>
      <w:hyperlink r:id="rId104" w:anchor="_top" w:history="1">
        <w:r w:rsidRPr="000F387B">
          <w:rPr>
            <w:rFonts w:ascii="Arial" w:eastAsia="Times New Roman" w:hAnsi="Arial" w:cs="Arial"/>
            <w:noProof/>
            <w:color w:val="0000FF"/>
          </w:rPr>
          <w:drawing>
            <wp:inline distT="0" distB="0" distL="0" distR="0">
              <wp:extent cx="152400" cy="152400"/>
              <wp:effectExtent l="0" t="0" r="0" b="0"/>
              <wp:docPr id="23" name="Picture 2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29" w:name="se40.13.63_12281"/>
      <w:bookmarkEnd w:id="29"/>
      <w:r w:rsidRPr="000F387B">
        <w:rPr>
          <w:rFonts w:ascii="Arial" w:eastAsia="Times New Roman" w:hAnsi="Arial" w:cs="Arial"/>
          <w:b/>
          <w:bCs/>
        </w:rPr>
        <w:t>§63.2281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reports must I submit and when?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submit each report in Table 9 to this subpart that applies to you.</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Unless the EPA Administrator has approved a different schedule for submission of reports under §63.10(a), you must submit each report by the date in Table 9 to this subpart and as specified in paragraphs (b)(1) through (5)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The first compliance report must cover the period beginning on the compliance date that is specified for your affected source in §63.2233 ending on June 30 or December 31, and lasting at least 6 months, but less than 12 months. For example, if your compliance date is March 1, then the first semiannual reporting period would begin on March 1 and end on December 31.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The first compliance report must be postmarked or delivered no later than July 31 or January 31 for compliance periods ending on June 30 and December 31, respectively.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Each subsequent compliance report must cover the semiannual reporting period from January 1 through June 30 or the semiannual reporting period from July 1 through December 31.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Each subsequent compliance report must be postmarked or delivered no later than July 31 or January 31 for the semiannual reporting period ending on June 30 and December 31, respectively.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For each affected source that is subject to permitting regulations pursuant to 40 CFR part 70 or 40 CFR part 71, and if the permitting authority has established dates for submitting semiannual reports pursuant to §70.6(a)(3)(iii)(A) or §71.6(a)(3)(iii)(A), you may submit the first and subsequent compliance reports according to the dates the permitting authority has established instead of according to the dates in paragraphs (b)(1) through (4)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The compliance report must contain the information in paragraphs (c</w:t>
      </w:r>
      <w:proofErr w:type="gramStart"/>
      <w:r w:rsidRPr="000F387B">
        <w:rPr>
          <w:rFonts w:ascii="Arial" w:eastAsia="Times New Roman" w:hAnsi="Arial" w:cs="Arial"/>
        </w:rPr>
        <w:t>)(</w:t>
      </w:r>
      <w:proofErr w:type="gramEnd"/>
      <w:r w:rsidRPr="000F387B">
        <w:rPr>
          <w:rFonts w:ascii="Arial" w:eastAsia="Times New Roman" w:hAnsi="Arial" w:cs="Arial"/>
        </w:rPr>
        <w:t>1) through (8)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Company name and address.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Statement by a responsible official with that official's name, title, and signature, certifying the truth, accuracy, and completeness of the content of the report.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Date of report and beginning and ending dates of the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If you had a startup, shutdown, or malfunction during the reporting period and you took actions consistent with your SSMP, the compliance report must include the information specified in §63.10(d</w:t>
      </w:r>
      <w:proofErr w:type="gramStart"/>
      <w:r w:rsidRPr="000F387B">
        <w:rPr>
          <w:rFonts w:ascii="Arial" w:eastAsia="Times New Roman" w:hAnsi="Arial" w:cs="Arial"/>
        </w:rPr>
        <w:t>)(</w:t>
      </w:r>
      <w:proofErr w:type="gramEnd"/>
      <w:r w:rsidRPr="000F387B">
        <w:rPr>
          <w:rFonts w:ascii="Arial" w:eastAsia="Times New Roman" w:hAnsi="Arial" w:cs="Arial"/>
        </w:rPr>
        <w:t>5)(</w:t>
      </w:r>
      <w:proofErr w:type="spellStart"/>
      <w:r w:rsidRPr="000F387B">
        <w:rPr>
          <w:rFonts w:ascii="Arial" w:eastAsia="Times New Roman" w:hAnsi="Arial" w:cs="Arial"/>
        </w:rPr>
        <w:t>i</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A description of control device maintenance performed while the control device was offline and one or more of the process units controlled by the control device was operating, including the information specified in paragraphs (c)(5)(</w:t>
      </w:r>
      <w:proofErr w:type="spellStart"/>
      <w:r w:rsidRPr="000F387B">
        <w:rPr>
          <w:rFonts w:ascii="Arial" w:eastAsia="Times New Roman" w:hAnsi="Arial" w:cs="Arial"/>
        </w:rPr>
        <w:t>i</w:t>
      </w:r>
      <w:proofErr w:type="spellEnd"/>
      <w:r w:rsidRPr="000F387B">
        <w:rPr>
          <w:rFonts w:ascii="Arial" w:eastAsia="Times New Roman" w:hAnsi="Arial" w:cs="Arial"/>
        </w:rPr>
        <w:t>) through (iii)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w:t>
      </w:r>
      <w:proofErr w:type="spellStart"/>
      <w:r w:rsidRPr="000F387B">
        <w:rPr>
          <w:rFonts w:ascii="Arial" w:eastAsia="Times New Roman" w:hAnsi="Arial" w:cs="Arial"/>
        </w:rPr>
        <w:t>i</w:t>
      </w:r>
      <w:proofErr w:type="spellEnd"/>
      <w:r w:rsidRPr="000F387B">
        <w:rPr>
          <w:rFonts w:ascii="Arial" w:eastAsia="Times New Roman" w:hAnsi="Arial" w:cs="Arial"/>
        </w:rPr>
        <w:t>) The date and time when the control device was shut down and restarted.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(ii) Identification of the process units that were operating and the number of hours that each process unit operated while the control device was offline.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(iii) A statement of whether or not the control device maintenance was included in your approved routine control device maintenance exemption developed pursuant to §63.2251. If the control device maintenance was included in your approved routine control device maintenance exemption, then you must report the information in paragraphs (c</w:t>
      </w:r>
      <w:proofErr w:type="gramStart"/>
      <w:r w:rsidRPr="000F387B">
        <w:rPr>
          <w:rFonts w:ascii="Arial" w:eastAsia="Times New Roman" w:hAnsi="Arial" w:cs="Arial"/>
        </w:rPr>
        <w:t>)(</w:t>
      </w:r>
      <w:proofErr w:type="gramEnd"/>
      <w:r w:rsidRPr="000F387B">
        <w:rPr>
          <w:rFonts w:ascii="Arial" w:eastAsia="Times New Roman" w:hAnsi="Arial" w:cs="Arial"/>
        </w:rPr>
        <w:t>5)(iii)(A) through (C)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The total amount of time that each process unit controlled by the control device operated during the semiannual compliance period and during the previous semiannual compliance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The amount of time that each process unit controlled by the control device operated while the control device was down for maintenance covered under the routine control device maintenance exemption during the semiannual compliance period and during the previous semiannual compliance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Based on the information recorded under paragraphs (c)(5)(iii)(A) and (B) of this section for each process unit, compute the annual percent of process unit operating uptime during which the control device was offline for routine maintenance using Equation 1 of this section. </w:t>
      </w:r>
    </w:p>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1905000" cy="463550"/>
            <wp:effectExtent l="0" t="0" r="0" b="0"/>
            <wp:docPr id="22" name="Picture 22" descr="eCFR graphic er72ad04.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eCFR graphic er72ad04.007.gif"/>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905000" cy="46355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106"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 xml:space="preserve">Where: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RM = Annual percentage of process unit uptime during which control device is down for routine control device maintenance;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PU</w:t>
      </w:r>
      <w:r w:rsidRPr="000F387B">
        <w:rPr>
          <w:rFonts w:ascii="Arial" w:eastAsia="Times New Roman" w:hAnsi="Arial" w:cs="Arial"/>
          <w:vertAlign w:val="subscript"/>
        </w:rPr>
        <w:t>p</w:t>
      </w:r>
      <w:proofErr w:type="spellEnd"/>
      <w:r w:rsidRPr="000F387B">
        <w:rPr>
          <w:rFonts w:ascii="Arial" w:eastAsia="Times New Roman" w:hAnsi="Arial" w:cs="Arial"/>
        </w:rPr>
        <w:t xml:space="preserve"> = Process unit uptime for the previous semiannual compliance period;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PU</w:t>
      </w:r>
      <w:r w:rsidRPr="000F387B">
        <w:rPr>
          <w:rFonts w:ascii="Arial" w:eastAsia="Times New Roman" w:hAnsi="Arial" w:cs="Arial"/>
          <w:vertAlign w:val="subscript"/>
        </w:rPr>
        <w:t>c</w:t>
      </w:r>
      <w:proofErr w:type="spellEnd"/>
      <w:r w:rsidRPr="000F387B">
        <w:rPr>
          <w:rFonts w:ascii="Arial" w:eastAsia="Times New Roman" w:hAnsi="Arial" w:cs="Arial"/>
        </w:rPr>
        <w:t xml:space="preserve"> = Process unit uptime for the current semiannual compliance period;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DT</w:t>
      </w:r>
      <w:r w:rsidRPr="000F387B">
        <w:rPr>
          <w:rFonts w:ascii="Arial" w:eastAsia="Times New Roman" w:hAnsi="Arial" w:cs="Arial"/>
          <w:vertAlign w:val="subscript"/>
        </w:rPr>
        <w:t>p</w:t>
      </w:r>
      <w:proofErr w:type="spellEnd"/>
      <w:r w:rsidRPr="000F387B">
        <w:rPr>
          <w:rFonts w:ascii="Arial" w:eastAsia="Times New Roman" w:hAnsi="Arial" w:cs="Arial"/>
        </w:rPr>
        <w:t xml:space="preserve"> = Control device downtime claimed under the routine control device maintenance exemption for the previous semiannual compliance period;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DT</w:t>
      </w:r>
      <w:r w:rsidRPr="000F387B">
        <w:rPr>
          <w:rFonts w:ascii="Arial" w:eastAsia="Times New Roman" w:hAnsi="Arial" w:cs="Arial"/>
          <w:vertAlign w:val="subscript"/>
        </w:rPr>
        <w:t>c</w:t>
      </w:r>
      <w:proofErr w:type="spellEnd"/>
      <w:r w:rsidRPr="000F387B">
        <w:rPr>
          <w:rFonts w:ascii="Arial" w:eastAsia="Times New Roman" w:hAnsi="Arial" w:cs="Arial"/>
        </w:rPr>
        <w:t xml:space="preserve"> = Control device downtime claimed under the routine control device maintenance exemption for the current semiannual compliance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 The results of any performance tests conducted during the semiannual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 If there are no deviations from any applicable compliance option or operating requirement, and there are no deviations from the requirements for work practice requirements in Table 8 to this subpart, a statement that there were no deviations from the compliance options, operating requirements, or work practice requirements during the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 If there were no periods during which the continuous monitoring system (CMS), including CEMS and CPMS, was out-of-control as specified in §63.8(c</w:t>
      </w:r>
      <w:proofErr w:type="gramStart"/>
      <w:r w:rsidRPr="000F387B">
        <w:rPr>
          <w:rFonts w:ascii="Arial" w:eastAsia="Times New Roman" w:hAnsi="Arial" w:cs="Arial"/>
        </w:rPr>
        <w:t>)(</w:t>
      </w:r>
      <w:proofErr w:type="gramEnd"/>
      <w:r w:rsidRPr="000F387B">
        <w:rPr>
          <w:rFonts w:ascii="Arial" w:eastAsia="Times New Roman" w:hAnsi="Arial" w:cs="Arial"/>
        </w:rPr>
        <w:t>7), a statement that there were no periods during which the CMS was out-of-control during the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For each deviation from a compliance option or operating requirement and for each deviation from the work practice requirements in Table 8 to this subpart that occurs at an affected source where you are not using a CMS to comply with the compliance options, operating requirements, or work practice requirements in this subpart, the compliance report must contain the information in paragraphs (c</w:t>
      </w:r>
      <w:proofErr w:type="gramStart"/>
      <w:r w:rsidRPr="000F387B">
        <w:rPr>
          <w:rFonts w:ascii="Arial" w:eastAsia="Times New Roman" w:hAnsi="Arial" w:cs="Arial"/>
        </w:rPr>
        <w:t>)(</w:t>
      </w:r>
      <w:proofErr w:type="gramEnd"/>
      <w:r w:rsidRPr="000F387B">
        <w:rPr>
          <w:rFonts w:ascii="Arial" w:eastAsia="Times New Roman" w:hAnsi="Arial" w:cs="Arial"/>
        </w:rPr>
        <w:t>1) through (6) of this section and in paragraphs (d)(1) and (2) of this section. This includes periods of startup, shutdown, and malfunction and routine control device maintenance.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The total operating time of each affected source during the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Information on the number, duration, and cause of deviations (including unknown cause, if applicable), as applicable, and the corrective action taken.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(e) For each deviation from a compliance option or operating requirement occurring at an affected source where you are using a CMS to comply with the compliance options and operating requirements in this subpart, you must include the information in paragraphs (c)(1) through (6) and paragraphs (e)(1) through (11) of this section. This includes periods of startup, shutdown, and malfunction and routine control device maintenance.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The date and time that each malfunction started and stopped.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The date and time that each CMS was inoperative, except for zero (low-level) and high-level checks.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The date, time, and duration that each CMS was out-of-control, including the information in §63.8(c</w:t>
      </w:r>
      <w:proofErr w:type="gramStart"/>
      <w:r w:rsidRPr="000F387B">
        <w:rPr>
          <w:rFonts w:ascii="Arial" w:eastAsia="Times New Roman" w:hAnsi="Arial" w:cs="Arial"/>
        </w:rPr>
        <w:t>)(</w:t>
      </w:r>
      <w:proofErr w:type="gramEnd"/>
      <w:r w:rsidRPr="000F387B">
        <w:rPr>
          <w:rFonts w:ascii="Arial" w:eastAsia="Times New Roman" w:hAnsi="Arial" w:cs="Arial"/>
        </w:rPr>
        <w:t>8).</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The date and time that each deviation started and stopped, and whether each deviation occurred during a period of startup, shutdown, or malfunction; during a period of control device maintenance covered in your approved routine control device maintenance exemption; or during another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A summary of the total duration of the deviation during the reporting period and the total duration as a percent of the total source operating time during that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 A breakdown of the total duration of the deviations during the reporting period into those that are due to startup, shutdown, control system problems, control device maintenance, process problems, other known causes, and other unknown causes.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 A summary of the total duration of CMS downtime during the reporting period and the total duration of CMS downtime as a percent of the total source operating time during that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 A brief description of the process units.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(9) A brief description of the CMS.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 The date of the latest CMS certification or audit.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(11) A description of any changes in CMS, processes, or controls since the last reporting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(f) If you comply with the emissions averaging compliance option in §63.2240(c), you must include in your semiannual compliance report calculations based on operating data from the semiannual reporting period that demonstrate that actual mass removal equals or exceeds the required mass removal.</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(g) Each affected source that has obtained a title V operating permit pursuant to 40 CFR part 70 or 40 CFR part 71 must report all deviations as defined in this subpart in the semiannual monitoring report required by §70.6(a)(3)(iii)(A) or §71.6(a)(3)(iii)(A). If an affected source submits a compliance report pursuant to Table 9 to this subpart along with, or as part of, the semiannual monitoring report required by §70.6(a)(3)(iii)(A) or §71.6(a)(3)(iii)(A), and the compliance report includes all required information concerning deviations from any compliance option, operating requirement, or work practice requirement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permitting authority. </w:t>
      </w:r>
    </w:p>
    <w:p w:rsidR="000F387B" w:rsidRPr="000F387B" w:rsidRDefault="000F387B" w:rsidP="000F387B">
      <w:pPr>
        <w:spacing w:before="200" w:after="100" w:afterAutospacing="1" w:line="240" w:lineRule="auto"/>
        <w:rPr>
          <w:rFonts w:ascii="Arial" w:eastAsia="Times New Roman" w:hAnsi="Arial" w:cs="Arial"/>
        </w:rPr>
      </w:pPr>
      <w:hyperlink r:id="rId107" w:anchor="_top" w:history="1">
        <w:r w:rsidRPr="000F387B">
          <w:rPr>
            <w:rFonts w:ascii="Arial" w:eastAsia="Times New Roman" w:hAnsi="Arial" w:cs="Arial"/>
            <w:noProof/>
            <w:color w:val="0000FF"/>
          </w:rPr>
          <w:drawing>
            <wp:inline distT="0" distB="0" distL="0" distR="0">
              <wp:extent cx="152400" cy="152400"/>
              <wp:effectExtent l="0" t="0" r="0" b="0"/>
              <wp:docPr id="21" name="Picture 2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0" w:name="se40.13.63_12282"/>
      <w:bookmarkEnd w:id="30"/>
      <w:r w:rsidRPr="000F387B">
        <w:rPr>
          <w:rFonts w:ascii="Arial" w:eastAsia="Times New Roman" w:hAnsi="Arial" w:cs="Arial"/>
          <w:b/>
          <w:bCs/>
        </w:rPr>
        <w:t>§63.2282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records must I keep?</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 must keep the records listed in paragraphs (a</w:t>
      </w:r>
      <w:proofErr w:type="gramStart"/>
      <w:r w:rsidRPr="000F387B">
        <w:rPr>
          <w:rFonts w:ascii="Arial" w:eastAsia="Times New Roman" w:hAnsi="Arial" w:cs="Arial"/>
        </w:rPr>
        <w:t>)(</w:t>
      </w:r>
      <w:proofErr w:type="gramEnd"/>
      <w:r w:rsidRPr="000F387B">
        <w:rPr>
          <w:rFonts w:ascii="Arial" w:eastAsia="Times New Roman" w:hAnsi="Arial" w:cs="Arial"/>
        </w:rPr>
        <w:t>1) through (4)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A copy of each notification and report that you submitted to comply with this subpart, including all documentation supporting any Initial Notification or Notification of Compliance Status that you submitted, according to the requirements in §63.10(b)(2)(xiv).</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The records in §63.6(e</w:t>
      </w:r>
      <w:proofErr w:type="gramStart"/>
      <w:r w:rsidRPr="000F387B">
        <w:rPr>
          <w:rFonts w:ascii="Arial" w:eastAsia="Times New Roman" w:hAnsi="Arial" w:cs="Arial"/>
        </w:rPr>
        <w:t>)(</w:t>
      </w:r>
      <w:proofErr w:type="gramEnd"/>
      <w:r w:rsidRPr="000F387B">
        <w:rPr>
          <w:rFonts w:ascii="Arial" w:eastAsia="Times New Roman" w:hAnsi="Arial" w:cs="Arial"/>
        </w:rPr>
        <w:t>3)(iii) through (v) related to startup, shutdown, and malfunction.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Documentation of your approved routine control device maintenance exemption, if you request such an exemption under §63.2251.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Records of performance tests and performance evaluations as required in §63.10(b</w:t>
      </w:r>
      <w:proofErr w:type="gramStart"/>
      <w:r w:rsidRPr="000F387B">
        <w:rPr>
          <w:rFonts w:ascii="Arial" w:eastAsia="Times New Roman" w:hAnsi="Arial" w:cs="Arial"/>
        </w:rPr>
        <w:t>)(</w:t>
      </w:r>
      <w:proofErr w:type="gramEnd"/>
      <w:r w:rsidRPr="000F387B">
        <w:rPr>
          <w:rFonts w:ascii="Arial" w:eastAsia="Times New Roman" w:hAnsi="Arial" w:cs="Arial"/>
        </w:rPr>
        <w:t>2)(viii).</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You must keep the records required in Tables 7 and 8 to this subpart to show continuous compliance with each compliance option, operating requirement, and work practice requirement that applies to you.</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For each CEMS, you must keep the following records.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Records described in §63.10(b</w:t>
      </w:r>
      <w:proofErr w:type="gramStart"/>
      <w:r w:rsidRPr="000F387B">
        <w:rPr>
          <w:rFonts w:ascii="Arial" w:eastAsia="Times New Roman" w:hAnsi="Arial" w:cs="Arial"/>
        </w:rPr>
        <w:t>)(</w:t>
      </w:r>
      <w:proofErr w:type="gramEnd"/>
      <w:r w:rsidRPr="000F387B">
        <w:rPr>
          <w:rFonts w:ascii="Arial" w:eastAsia="Times New Roman" w:hAnsi="Arial" w:cs="Arial"/>
        </w:rPr>
        <w:t>2)(vi) through (xi).</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Previous (i.e., superseded) versions of the performance evaluation plan as required in §63.8(d</w:t>
      </w:r>
      <w:proofErr w:type="gramStart"/>
      <w:r w:rsidRPr="000F387B">
        <w:rPr>
          <w:rFonts w:ascii="Arial" w:eastAsia="Times New Roman" w:hAnsi="Arial" w:cs="Arial"/>
        </w:rPr>
        <w:t>)(</w:t>
      </w:r>
      <w:proofErr w:type="gramEnd"/>
      <w:r w:rsidRPr="000F387B">
        <w:rPr>
          <w:rFonts w:ascii="Arial" w:eastAsia="Times New Roman" w:hAnsi="Arial" w:cs="Arial"/>
        </w:rPr>
        <w:t>3).</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Request for alternatives to relative accuracy testing for CEMS as required in §63.8(f</w:t>
      </w:r>
      <w:proofErr w:type="gramStart"/>
      <w:r w:rsidRPr="000F387B">
        <w:rPr>
          <w:rFonts w:ascii="Arial" w:eastAsia="Times New Roman" w:hAnsi="Arial" w:cs="Arial"/>
        </w:rPr>
        <w:t>)(</w:t>
      </w:r>
      <w:proofErr w:type="gramEnd"/>
      <w:r w:rsidRPr="000F387B">
        <w:rPr>
          <w:rFonts w:ascii="Arial" w:eastAsia="Times New Roman" w:hAnsi="Arial" w:cs="Arial"/>
        </w:rPr>
        <w:t>6)(</w:t>
      </w:r>
      <w:proofErr w:type="spellStart"/>
      <w:r w:rsidRPr="000F387B">
        <w:rPr>
          <w:rFonts w:ascii="Arial" w:eastAsia="Times New Roman" w:hAnsi="Arial" w:cs="Arial"/>
        </w:rPr>
        <w:t>i</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Records of the date and time that each deviation started and stopped, and whether the deviation occurred during a period of startup, shutdown, or malfunction or during another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(d) If you comply with the emissions averaging compliance option in §63.2240(c), you must keep records of all information required to calculate emission debits and credits.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(e) If you operate a catalytic oxidizer, you must keep records of annual catalyst activity checks and subsequent corrective actions. </w:t>
      </w:r>
    </w:p>
    <w:p w:rsidR="000F387B" w:rsidRPr="000F387B" w:rsidRDefault="000F387B" w:rsidP="000F387B">
      <w:pPr>
        <w:spacing w:before="200" w:after="100" w:afterAutospacing="1" w:line="240" w:lineRule="auto"/>
        <w:rPr>
          <w:rFonts w:ascii="Arial" w:eastAsia="Times New Roman" w:hAnsi="Arial" w:cs="Arial"/>
        </w:rPr>
      </w:pPr>
      <w:hyperlink r:id="rId108" w:anchor="_top" w:history="1">
        <w:r w:rsidRPr="000F387B">
          <w:rPr>
            <w:rFonts w:ascii="Arial" w:eastAsia="Times New Roman" w:hAnsi="Arial" w:cs="Arial"/>
            <w:noProof/>
            <w:color w:val="0000FF"/>
          </w:rPr>
          <w:drawing>
            <wp:inline distT="0" distB="0" distL="0" distR="0">
              <wp:extent cx="152400" cy="152400"/>
              <wp:effectExtent l="0" t="0" r="0" b="0"/>
              <wp:docPr id="20" name="Picture 20"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1" w:name="se40.13.63_12283"/>
      <w:bookmarkEnd w:id="31"/>
      <w:r w:rsidRPr="000F387B">
        <w:rPr>
          <w:rFonts w:ascii="Arial" w:eastAsia="Times New Roman" w:hAnsi="Arial" w:cs="Arial"/>
          <w:b/>
          <w:bCs/>
        </w:rPr>
        <w:t>§63.2283   </w:t>
      </w:r>
      <w:proofErr w:type="gramStart"/>
      <w:r w:rsidRPr="000F387B">
        <w:rPr>
          <w:rFonts w:ascii="Arial" w:eastAsia="Times New Roman" w:hAnsi="Arial" w:cs="Arial"/>
          <w:b/>
          <w:bCs/>
        </w:rPr>
        <w:t>In</w:t>
      </w:r>
      <w:proofErr w:type="gramEnd"/>
      <w:r w:rsidRPr="000F387B">
        <w:rPr>
          <w:rFonts w:ascii="Arial" w:eastAsia="Times New Roman" w:hAnsi="Arial" w:cs="Arial"/>
          <w:b/>
          <w:bCs/>
        </w:rPr>
        <w:t xml:space="preserve"> what form and how long must I keep my records?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Your records must be in a form suitable and readily available for expeditious review as specified in §63.10(b</w:t>
      </w:r>
      <w:proofErr w:type="gramStart"/>
      <w:r w:rsidRPr="000F387B">
        <w:rPr>
          <w:rFonts w:ascii="Arial" w:eastAsia="Times New Roman" w:hAnsi="Arial" w:cs="Arial"/>
        </w:rPr>
        <w:t>)(</w:t>
      </w:r>
      <w:proofErr w:type="gramEnd"/>
      <w:r w:rsidRPr="000F387B">
        <w:rPr>
          <w:rFonts w:ascii="Arial" w:eastAsia="Times New Roman" w:hAnsi="Arial" w:cs="Arial"/>
        </w:rPr>
        <w:t>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As specified in §63.10(b)(1), you must keep each record for 5 years following the date of each occurrence, measurement, maintenance, corrective action, report, or record.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(c) You must keep each record on site for at least 2 years after the date of each occurrence, measurement, maintenance, corrective action, report, or record according to §63.10(b)(1). You can keep the records offsite for the remaining 3 years. </w:t>
      </w:r>
    </w:p>
    <w:p w:rsidR="000F387B" w:rsidRPr="000F387B" w:rsidRDefault="000F387B" w:rsidP="000F387B">
      <w:pPr>
        <w:spacing w:before="200" w:after="100" w:afterAutospacing="1" w:line="240" w:lineRule="auto"/>
        <w:rPr>
          <w:rFonts w:ascii="Arial" w:eastAsia="Times New Roman" w:hAnsi="Arial" w:cs="Arial"/>
        </w:rPr>
      </w:pPr>
      <w:hyperlink r:id="rId109" w:anchor="_top" w:history="1">
        <w:r w:rsidRPr="000F387B">
          <w:rPr>
            <w:rFonts w:ascii="Arial" w:eastAsia="Times New Roman" w:hAnsi="Arial" w:cs="Arial"/>
            <w:noProof/>
            <w:color w:val="0000FF"/>
          </w:rPr>
          <w:drawing>
            <wp:inline distT="0" distB="0" distL="0" distR="0">
              <wp:extent cx="152400" cy="152400"/>
              <wp:effectExtent l="0" t="0" r="0" b="0"/>
              <wp:docPr id="19" name="Picture 19"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smallCaps/>
        </w:rPr>
      </w:pPr>
      <w:bookmarkStart w:id="32" w:name="sg40.13.63_12283.sg40"/>
      <w:bookmarkEnd w:id="32"/>
      <w:r w:rsidRPr="000F387B">
        <w:rPr>
          <w:rFonts w:ascii="Arial" w:eastAsia="Times New Roman" w:hAnsi="Arial" w:cs="Arial"/>
          <w:b/>
          <w:bCs/>
          <w:smallCaps/>
        </w:rPr>
        <w:t>Other Requirements and Information</w:t>
      </w:r>
    </w:p>
    <w:p w:rsidR="000F387B" w:rsidRPr="000F387B" w:rsidRDefault="000F387B" w:rsidP="000F387B">
      <w:pPr>
        <w:spacing w:before="200" w:after="100" w:afterAutospacing="1" w:line="240" w:lineRule="auto"/>
        <w:rPr>
          <w:rFonts w:ascii="Arial" w:eastAsia="Times New Roman" w:hAnsi="Arial" w:cs="Arial"/>
        </w:rPr>
      </w:pPr>
      <w:hyperlink r:id="rId110" w:anchor="_top" w:history="1">
        <w:r w:rsidRPr="000F387B">
          <w:rPr>
            <w:rFonts w:ascii="Arial" w:eastAsia="Times New Roman" w:hAnsi="Arial" w:cs="Arial"/>
            <w:noProof/>
            <w:color w:val="0000FF"/>
          </w:rPr>
          <w:drawing>
            <wp:inline distT="0" distB="0" distL="0" distR="0">
              <wp:extent cx="152400" cy="152400"/>
              <wp:effectExtent l="0" t="0" r="0" b="0"/>
              <wp:docPr id="18" name="Picture 1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3" w:name="se40.13.63_12290"/>
      <w:bookmarkEnd w:id="33"/>
      <w:r w:rsidRPr="000F387B">
        <w:rPr>
          <w:rFonts w:ascii="Arial" w:eastAsia="Times New Roman" w:hAnsi="Arial" w:cs="Arial"/>
          <w:b/>
          <w:bCs/>
        </w:rPr>
        <w:t>§63.2290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parts of the General Provisions apply to me?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Table 10 to this subpart shows which parts of the General Provisions in §§63.1 through 63.13 apply to you. </w:t>
      </w:r>
    </w:p>
    <w:p w:rsidR="000F387B" w:rsidRPr="000F387B" w:rsidRDefault="000F387B" w:rsidP="000F387B">
      <w:pPr>
        <w:spacing w:before="200" w:after="100" w:afterAutospacing="1" w:line="240" w:lineRule="auto"/>
        <w:rPr>
          <w:rFonts w:ascii="Arial" w:eastAsia="Times New Roman" w:hAnsi="Arial" w:cs="Arial"/>
        </w:rPr>
      </w:pPr>
      <w:hyperlink r:id="rId111" w:anchor="_top" w:history="1">
        <w:r w:rsidRPr="000F387B">
          <w:rPr>
            <w:rFonts w:ascii="Arial" w:eastAsia="Times New Roman" w:hAnsi="Arial" w:cs="Arial"/>
            <w:noProof/>
            <w:color w:val="0000FF"/>
          </w:rPr>
          <w:drawing>
            <wp:inline distT="0" distB="0" distL="0" distR="0">
              <wp:extent cx="152400" cy="152400"/>
              <wp:effectExtent l="0" t="0" r="0" b="0"/>
              <wp:docPr id="17" name="Picture 1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4" w:name="se40.13.63_12291"/>
      <w:bookmarkEnd w:id="34"/>
      <w:r w:rsidRPr="000F387B">
        <w:rPr>
          <w:rFonts w:ascii="Arial" w:eastAsia="Times New Roman" w:hAnsi="Arial" w:cs="Arial"/>
          <w:b/>
          <w:bCs/>
        </w:rPr>
        <w:t>§63.2291   </w:t>
      </w:r>
      <w:proofErr w:type="gramStart"/>
      <w:r w:rsidRPr="000F387B">
        <w:rPr>
          <w:rFonts w:ascii="Arial" w:eastAsia="Times New Roman" w:hAnsi="Arial" w:cs="Arial"/>
          <w:b/>
          <w:bCs/>
        </w:rPr>
        <w:t>Who</w:t>
      </w:r>
      <w:proofErr w:type="gramEnd"/>
      <w:r w:rsidRPr="000F387B">
        <w:rPr>
          <w:rFonts w:ascii="Arial" w:eastAsia="Times New Roman" w:hAnsi="Arial" w:cs="Arial"/>
          <w:b/>
          <w:bCs/>
        </w:rPr>
        <w:t xml:space="preserve"> implements and enforces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This subpart can be implemented and enforced by the U.S. EPA or a delegated authority such as your State, local, or tribal agency. If the EPA Administrator has delegated authority to your State, local, or tribal agency, then that agency has the authority to implement and enforce this subpart. You should contact your EPA Regional Office to find out if this subpart is delegated to your State, local, or tribal agency.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(b) In delegating implementation and enforcement authority of this subpart to a State, local, or tribal agency under 40 CFR part 63, subpart E, the authorities contained in paragraph (c) of this section are retained by the EPA Administrator and are not transferred to the State, local, or tribal agency.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(c) The authorities that will not be delegated to State, local, or tribal agencies are listed in paragraphs (c</w:t>
      </w:r>
      <w:proofErr w:type="gramStart"/>
      <w:r w:rsidRPr="000F387B">
        <w:rPr>
          <w:rFonts w:ascii="Arial" w:eastAsia="Times New Roman" w:hAnsi="Arial" w:cs="Arial"/>
        </w:rPr>
        <w:t>)(</w:t>
      </w:r>
      <w:proofErr w:type="gramEnd"/>
      <w:r w:rsidRPr="000F387B">
        <w:rPr>
          <w:rFonts w:ascii="Arial" w:eastAsia="Times New Roman" w:hAnsi="Arial" w:cs="Arial"/>
        </w:rPr>
        <w:t>1) through (4) of this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Approval of alternatives to the compliance options, operating requirements, and work practice requirements in §§63.2240 and 63.2241 as specified in §63.6(g). For the purposes of delegation authority under 40 CFR part 63, subpart E, “compliance options” represent “emission limits”; “operating requirements” represent “operating limits”; and “work practice requirements” represent “work practice standards.”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Approval of major alternatives to test methods as specified in §63.7(e</w:t>
      </w:r>
      <w:proofErr w:type="gramStart"/>
      <w:r w:rsidRPr="000F387B">
        <w:rPr>
          <w:rFonts w:ascii="Arial" w:eastAsia="Times New Roman" w:hAnsi="Arial" w:cs="Arial"/>
        </w:rPr>
        <w:t>)(</w:t>
      </w:r>
      <w:proofErr w:type="gramEnd"/>
      <w:r w:rsidRPr="000F387B">
        <w:rPr>
          <w:rFonts w:ascii="Arial" w:eastAsia="Times New Roman" w:hAnsi="Arial" w:cs="Arial"/>
        </w:rPr>
        <w:t>2)(ii) and (f) and as defined in §63.90.</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Approval of major alternatives to monitoring as specified in §63.8(f) and as defined in §63.90.</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Approval of major alternatives to recordkeeping and reporting as specified in §63.10(f) and as defined in §63.90.</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72 FR 61063, Oct. 29, 2007]</w:t>
      </w:r>
    </w:p>
    <w:p w:rsidR="000F387B" w:rsidRPr="000F387B" w:rsidRDefault="000F387B" w:rsidP="000F387B">
      <w:pPr>
        <w:spacing w:before="200" w:after="100" w:afterAutospacing="1" w:line="240" w:lineRule="auto"/>
        <w:rPr>
          <w:rFonts w:ascii="Arial" w:eastAsia="Times New Roman" w:hAnsi="Arial" w:cs="Arial"/>
        </w:rPr>
      </w:pPr>
      <w:hyperlink r:id="rId112" w:anchor="_top" w:history="1">
        <w:r w:rsidRPr="000F387B">
          <w:rPr>
            <w:rFonts w:ascii="Arial" w:eastAsia="Times New Roman" w:hAnsi="Arial" w:cs="Arial"/>
            <w:noProof/>
            <w:color w:val="0000FF"/>
          </w:rPr>
          <w:drawing>
            <wp:inline distT="0" distB="0" distL="0" distR="0">
              <wp:extent cx="152400" cy="152400"/>
              <wp:effectExtent l="0" t="0" r="0" b="0"/>
              <wp:docPr id="16" name="Picture 1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35" w:name="se40.13.63_12292"/>
      <w:bookmarkEnd w:id="35"/>
      <w:r w:rsidRPr="000F387B">
        <w:rPr>
          <w:rFonts w:ascii="Arial" w:eastAsia="Times New Roman" w:hAnsi="Arial" w:cs="Arial"/>
          <w:b/>
          <w:bCs/>
        </w:rPr>
        <w:t>§63.2292   </w:t>
      </w:r>
      <w:proofErr w:type="gramStart"/>
      <w:r w:rsidRPr="000F387B">
        <w:rPr>
          <w:rFonts w:ascii="Arial" w:eastAsia="Times New Roman" w:hAnsi="Arial" w:cs="Arial"/>
          <w:b/>
          <w:bCs/>
        </w:rPr>
        <w:t>What</w:t>
      </w:r>
      <w:proofErr w:type="gramEnd"/>
      <w:r w:rsidRPr="000F387B">
        <w:rPr>
          <w:rFonts w:ascii="Arial" w:eastAsia="Times New Roman" w:hAnsi="Arial" w:cs="Arial"/>
          <w:b/>
          <w:bCs/>
        </w:rPr>
        <w:t xml:space="preserve"> definitions apply to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Terms used in this subpart are defined in the Clean Air Act (CAA), in 40 CFR 63.2, the General Provisions, and in this section as follows: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Affected source</w:t>
      </w:r>
      <w:r w:rsidRPr="000F387B">
        <w:rPr>
          <w:rFonts w:ascii="Arial" w:eastAsia="Times New Roman" w:hAnsi="Arial" w:cs="Arial"/>
        </w:rPr>
        <w:t xml:space="preserve"> means the collection of dryers, refiners, blenders, formers, presses, board coolers, and other process units associated with the manufacturing of plywood and composite wood products. The affected source includes, but is not limited to, green end operations, refining, drying operations (including any combustion unit exhaust stream routinely used to direct fire process unit(s)), resin preparation, blending and forming operations, pressing and board cooling operations, and miscellaneous finishing operations (such as sanding, sawing, patching, edge sealing, and other finishing operations not subject to other NESHAP). The affected source also includes onsite storage of raw materials used in the manufacture of plywood and/or composite wood products, such as resins; onsite wastewater treatment operations specifically associated with plywood and composite wood products manufacturing; and miscellaneous coating operations (defined elsewhere in this section). The affected source includes lumber kilns at PCWP manufacturing facilities and at any other kind of facility.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Agricultural fiber</w:t>
      </w:r>
      <w:r w:rsidRPr="000F387B">
        <w:rPr>
          <w:rFonts w:ascii="Arial" w:eastAsia="Times New Roman" w:hAnsi="Arial" w:cs="Arial"/>
        </w:rPr>
        <w:t xml:space="preserve"> means the fiber of an annual agricultural crop. Examples of agricultural fibers include, but are not limited to, wheat straw, rice straw, and bagasse.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spellStart"/>
      <w:r w:rsidRPr="000F387B">
        <w:rPr>
          <w:rFonts w:ascii="Arial" w:eastAsia="Times New Roman" w:hAnsi="Arial" w:cs="Arial"/>
          <w:i/>
          <w:iCs/>
        </w:rPr>
        <w:t>Biofilter</w:t>
      </w:r>
      <w:proofErr w:type="spellEnd"/>
      <w:r w:rsidRPr="000F387B">
        <w:rPr>
          <w:rFonts w:ascii="Arial" w:eastAsia="Times New Roman" w:hAnsi="Arial" w:cs="Arial"/>
        </w:rPr>
        <w:t xml:space="preserve"> means an enclosed control system such as a tank or series of tanks with a fixed roof that contact emissions with a solid media (such as bark) and use microbiological activity to transform organic pollutants in a process exhaust stream to innocuous compounds such as carbon dioxide, water, and inorganic salts. Wastewater treatment systems such as aeration lagoons or activated sludge systems are not considered to be </w:t>
      </w:r>
      <w:proofErr w:type="spellStart"/>
      <w:r w:rsidRPr="000F387B">
        <w:rPr>
          <w:rFonts w:ascii="Arial" w:eastAsia="Times New Roman" w:hAnsi="Arial" w:cs="Arial"/>
        </w:rPr>
        <w:t>biofilters</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Capture device</w:t>
      </w:r>
      <w:r w:rsidRPr="000F387B">
        <w:rPr>
          <w:rFonts w:ascii="Arial" w:eastAsia="Times New Roman" w:hAnsi="Arial" w:cs="Arial"/>
        </w:rPr>
        <w:t xml:space="preserve"> means a hood, enclosure, or other means of collecting emissions into a duct so that the emissions can be measured.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Capture efficiency</w:t>
      </w:r>
      <w:r w:rsidRPr="000F387B">
        <w:rPr>
          <w:rFonts w:ascii="Arial" w:eastAsia="Times New Roman" w:hAnsi="Arial" w:cs="Arial"/>
        </w:rPr>
        <w:t xml:space="preserve"> means the fraction (expressed as a percentage) of the pollutants from an emission source that are collected by a capture device.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Catalytic oxidizer</w:t>
      </w:r>
      <w:r w:rsidRPr="000F387B">
        <w:rPr>
          <w:rFonts w:ascii="Arial" w:eastAsia="Times New Roman" w:hAnsi="Arial" w:cs="Arial"/>
        </w:rPr>
        <w:t xml:space="preserve"> means a control system that combusts or oxidizes, in the presence of a catalyst, exhaust gas from a process unit. Catalytic oxidizers include regenerative catalytic oxidizers and thermal catalytic oxidizers.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Combustion unit</w:t>
      </w:r>
      <w:r w:rsidRPr="000F387B">
        <w:rPr>
          <w:rFonts w:ascii="Arial" w:eastAsia="Times New Roman" w:hAnsi="Arial" w:cs="Arial"/>
        </w:rPr>
        <w:t xml:space="preserve"> means a dryer burner, process heater, or boiler. Combustion units may be used for combustion of organic HAP emissions.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Control device</w:t>
      </w:r>
      <w:r w:rsidRPr="000F387B">
        <w:rPr>
          <w:rFonts w:ascii="Arial" w:eastAsia="Times New Roman" w:hAnsi="Arial" w:cs="Arial"/>
        </w:rPr>
        <w:t xml:space="preserve"> means any equipment that reduces the quantity of HAP emitted to the air. The device may destroy the HAP or secure the HAP for subsequent recovery. Control devices include, but are not limited to, thermal or catalytic oxidizers, combustion units that incinerate process exhausts, </w:t>
      </w:r>
      <w:proofErr w:type="spellStart"/>
      <w:r w:rsidRPr="000F387B">
        <w:rPr>
          <w:rFonts w:ascii="Arial" w:eastAsia="Times New Roman" w:hAnsi="Arial" w:cs="Arial"/>
        </w:rPr>
        <w:t>biofilters</w:t>
      </w:r>
      <w:proofErr w:type="spellEnd"/>
      <w:r w:rsidRPr="000F387B">
        <w:rPr>
          <w:rFonts w:ascii="Arial" w:eastAsia="Times New Roman" w:hAnsi="Arial" w:cs="Arial"/>
        </w:rPr>
        <w:t>, and condensers.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Control system or add-on control system</w:t>
      </w:r>
      <w:r w:rsidRPr="000F387B">
        <w:rPr>
          <w:rFonts w:ascii="Arial" w:eastAsia="Times New Roman" w:hAnsi="Arial" w:cs="Arial"/>
        </w:rPr>
        <w:t xml:space="preserve"> means the combination of capture and control devices used to reduce HAP emissions to the atmosphere.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Conveyor strand dryer</w:t>
      </w:r>
      <w:r w:rsidRPr="000F387B">
        <w:rPr>
          <w:rFonts w:ascii="Arial" w:eastAsia="Times New Roman" w:hAnsi="Arial" w:cs="Arial"/>
        </w:rPr>
        <w:t xml:space="preserve"> means a conveyor dryer used to reduce the moisture of wood strands used in the manufacture of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xml:space="preserve">, laminated strand lumber, or other wood strand-based products. A </w:t>
      </w:r>
      <w:r w:rsidRPr="000F387B">
        <w:rPr>
          <w:rFonts w:ascii="Arial" w:eastAsia="Times New Roman" w:hAnsi="Arial" w:cs="Arial"/>
          <w:i/>
          <w:iCs/>
        </w:rPr>
        <w:t>conveyor strand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Conveyor strand dryer zone</w:t>
      </w:r>
      <w:r w:rsidRPr="000F387B">
        <w:rPr>
          <w:rFonts w:ascii="Arial" w:eastAsia="Times New Roman" w:hAnsi="Arial" w:cs="Arial"/>
        </w:rPr>
        <w:t xml:space="preserve"> means each portion of a conveyor strand dryer with a separate heat exchange system and exhaust vent(s). Conveyor strand dryers contain multiple zones (e.g., three zones), which may be divided into multiple sections.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Deviation</w:t>
      </w:r>
      <w:r w:rsidRPr="000F387B">
        <w:rPr>
          <w:rFonts w:ascii="Arial" w:eastAsia="Times New Roman" w:hAnsi="Arial" w:cs="Arial"/>
        </w:rPr>
        <w:t xml:space="preserve"> means any instance in which an affected source subject to this subpart, or an owner or operator of such a source: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Fails to meet any requirement or obligation established by this subpart including, but not limited to, any compliance option, operating requirement, or work practice requirement;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Fails to meet any term or condition that is adopted to implement an applicable requirement in this subpart, and that is included in the operating permit for any affected source required to obtain such a permit; or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Fails to meet any compliance option, operating requirement, or work practice requirement in this subpart during startup, shutdown, or malfunction, regardless of whether or not such failure is permitted by this subpart. A deviation is not always a violation. The determination of whether a deviation constitutes a violation of the standard is up to the discretion of the entity responsible for enforcement of the standards.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Direct-fired process unit</w:t>
      </w:r>
      <w:r w:rsidRPr="000F387B">
        <w:rPr>
          <w:rFonts w:ascii="Arial" w:eastAsia="Times New Roman" w:hAnsi="Arial" w:cs="Arial"/>
        </w:rPr>
        <w:t xml:space="preserve"> means a process unit that is heated by the passing of combustion exhaust through the process unit such that the process material is contacted by the combustion exhaust.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Dryer heated zones</w:t>
      </w:r>
      <w:r w:rsidRPr="000F387B">
        <w:rPr>
          <w:rFonts w:ascii="Arial" w:eastAsia="Times New Roman" w:hAnsi="Arial" w:cs="Arial"/>
        </w:rPr>
        <w:t xml:space="preserve"> means the zones of a softwood veneer dryer or fiberboard mat dryer that are equipped with heating and hot air circulation units. The cooling zone(s) of the dryer through which ambient air is blown are not part of the dryer heated zones.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Dry forming</w:t>
      </w:r>
      <w:r w:rsidRPr="000F387B">
        <w:rPr>
          <w:rFonts w:ascii="Arial" w:eastAsia="Times New Roman" w:hAnsi="Arial" w:cs="Arial"/>
        </w:rPr>
        <w:t xml:space="preserve"> means the process of making a mat of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fiber to be compressed into a reconstituted wood product such as particleboard,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medium density fiberboard, or hardboard.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Dry rotary dryer</w:t>
      </w:r>
      <w:r w:rsidRPr="000F387B">
        <w:rPr>
          <w:rFonts w:ascii="Arial" w:eastAsia="Times New Roman" w:hAnsi="Arial" w:cs="Arial"/>
        </w:rPr>
        <w:t xml:space="preserve"> means a rotary dryer that dries wood particles or fibers with a maximum inlet moisture content of less than or equal to 30 percent (by weight, dry basis) and operates with a maximum inlet temperature of less than or equal to 600 °F. A dry rotary dryer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Engineered wood product</w:t>
      </w:r>
      <w:r w:rsidRPr="000F387B">
        <w:rPr>
          <w:rFonts w:ascii="Arial" w:eastAsia="Times New Roman" w:hAnsi="Arial" w:cs="Arial"/>
        </w:rPr>
        <w:t xml:space="preserve"> means a product made with lumber, veneers, strands of wood, or from other small wood elements that are bound together with resin. Engineered wood products include, but are not limited to, laminated strand lumber, laminated veneer lumber, parallel strand lumber, wood I-joists, and glue-laminated beams.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Fiber</w:t>
      </w:r>
      <w:r w:rsidRPr="000F387B">
        <w:rPr>
          <w:rFonts w:ascii="Arial" w:eastAsia="Times New Roman" w:hAnsi="Arial" w:cs="Arial"/>
        </w:rPr>
        <w:t xml:space="preserve"> means the discrete elements of wood or similar cellulosic material, which are separated by mechanical means, as in refining, that can be formed into boards.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Fiberboard</w:t>
      </w:r>
      <w:r w:rsidRPr="000F387B">
        <w:rPr>
          <w:rFonts w:ascii="Arial" w:eastAsia="Times New Roman" w:hAnsi="Arial" w:cs="Arial"/>
        </w:rPr>
        <w:t xml:space="preserve"> means a composite panel composed of cellulosic fibers (usually wood or agricultural material) made by wet forming and compacting a mat of fibers. Fiberboard density generally is less than 0.50 grams per cubic centimeter (31.5 pounds per cubic foot).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Fiberboard mat dryer</w:t>
      </w:r>
      <w:r w:rsidRPr="000F387B">
        <w:rPr>
          <w:rFonts w:ascii="Arial" w:eastAsia="Times New Roman" w:hAnsi="Arial" w:cs="Arial"/>
        </w:rPr>
        <w:t xml:space="preserve"> means a dryer used to reduce the moisture of wet-formed wood fiber mats by applying heat. A </w:t>
      </w:r>
      <w:r w:rsidRPr="000F387B">
        <w:rPr>
          <w:rFonts w:ascii="Arial" w:eastAsia="Times New Roman" w:hAnsi="Arial" w:cs="Arial"/>
          <w:i/>
          <w:iCs/>
        </w:rPr>
        <w:t>fiberboard mat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Flame zone</w:t>
      </w:r>
      <w:r w:rsidRPr="000F387B">
        <w:rPr>
          <w:rFonts w:ascii="Arial" w:eastAsia="Times New Roman" w:hAnsi="Arial" w:cs="Arial"/>
        </w:rPr>
        <w:t xml:space="preserve"> means the portion of the combustion chamber in a combustion unit that is occupied by the flame envelope.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Furnish</w:t>
      </w:r>
      <w:r w:rsidRPr="000F387B">
        <w:rPr>
          <w:rFonts w:ascii="Arial" w:eastAsia="Times New Roman" w:hAnsi="Arial" w:cs="Arial"/>
        </w:rPr>
        <w:t xml:space="preserve"> means the fibers, particles, or strands used for making boards.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Glue-laminated beam</w:t>
      </w:r>
      <w:r w:rsidRPr="000F387B">
        <w:rPr>
          <w:rFonts w:ascii="Arial" w:eastAsia="Times New Roman" w:hAnsi="Arial" w:cs="Arial"/>
        </w:rPr>
        <w:t xml:space="preserve"> means a structural wood beam made by bonding lumber together along its faces with resin.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Green rotary dryer</w:t>
      </w:r>
      <w:r w:rsidRPr="000F387B">
        <w:rPr>
          <w:rFonts w:ascii="Arial" w:eastAsia="Times New Roman" w:hAnsi="Arial" w:cs="Arial"/>
        </w:rPr>
        <w:t xml:space="preserve"> means a rotary dryer that dries wood particles or fibers with an inlet moisture content of greater than 30 percent (by weight, dry basis) at any dryer inlet temperature or operates with an inlet temperature of greater than 600 °F with any inlet moisture content. A </w:t>
      </w:r>
      <w:r w:rsidRPr="000F387B">
        <w:rPr>
          <w:rFonts w:ascii="Arial" w:eastAsia="Times New Roman" w:hAnsi="Arial" w:cs="Arial"/>
          <w:i/>
          <w:iCs/>
        </w:rPr>
        <w:t>green rotary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Group 1 miscellaneous coating operations</w:t>
      </w:r>
      <w:r w:rsidRPr="000F387B">
        <w:rPr>
          <w:rFonts w:ascii="Arial" w:eastAsia="Times New Roman" w:hAnsi="Arial" w:cs="Arial"/>
        </w:rPr>
        <w:t xml:space="preserve"> means application of edge seals, nail lines, logo (or other information) paint, shelving edge fillers, trademark/</w:t>
      </w:r>
      <w:proofErr w:type="spellStart"/>
      <w:r w:rsidRPr="000F387B">
        <w:rPr>
          <w:rFonts w:ascii="Arial" w:eastAsia="Times New Roman" w:hAnsi="Arial" w:cs="Arial"/>
        </w:rPr>
        <w:t>gradestamp</w:t>
      </w:r>
      <w:proofErr w:type="spellEnd"/>
      <w:r w:rsidRPr="000F387B">
        <w:rPr>
          <w:rFonts w:ascii="Arial" w:eastAsia="Times New Roman" w:hAnsi="Arial" w:cs="Arial"/>
        </w:rPr>
        <w:t xml:space="preserve"> inks, and wood putty patches to plywood and composite wood products (except kiln-dried lumber) on the same site where the plywood and composite wood products are manufactured. Group 1 miscellaneous coating operations also include application of synthetic patches to plywood at new affected sources.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Hardboard</w:t>
      </w:r>
      <w:r w:rsidRPr="000F387B">
        <w:rPr>
          <w:rFonts w:ascii="Arial" w:eastAsia="Times New Roman" w:hAnsi="Arial" w:cs="Arial"/>
        </w:rPr>
        <w:t xml:space="preserve"> means a composite panel composed of inter-felted cellulosic fibers made by dry or wet forming and pressing of a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fiber mat. Hardboard generally has a density of 0.50 grams per cubic centimeter (31.5 pounds per cubic foot) or greater.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Hardboard oven</w:t>
      </w:r>
      <w:r w:rsidRPr="000F387B">
        <w:rPr>
          <w:rFonts w:ascii="Arial" w:eastAsia="Times New Roman" w:hAnsi="Arial" w:cs="Arial"/>
        </w:rPr>
        <w:t xml:space="preserve"> means an oven used to heat treat or temper hardboard after hot pressing. Humidification chambers are not considered as part of hardboard ovens. A </w:t>
      </w:r>
      <w:r w:rsidRPr="000F387B">
        <w:rPr>
          <w:rFonts w:ascii="Arial" w:eastAsia="Times New Roman" w:hAnsi="Arial" w:cs="Arial"/>
          <w:i/>
          <w:iCs/>
        </w:rPr>
        <w:t>hardboard oven</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Hardwood</w:t>
      </w:r>
      <w:r w:rsidRPr="000F387B">
        <w:rPr>
          <w:rFonts w:ascii="Arial" w:eastAsia="Times New Roman" w:hAnsi="Arial" w:cs="Arial"/>
        </w:rPr>
        <w:t xml:space="preserve"> means the wood of a broad-leafed tree, either deciduous or evergreen. Examples of hardwoods include, but are not limited to, aspen, birch, poplar, and oak.</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Hardwood veneer dryer</w:t>
      </w:r>
      <w:r w:rsidRPr="000F387B">
        <w:rPr>
          <w:rFonts w:ascii="Arial" w:eastAsia="Times New Roman" w:hAnsi="Arial" w:cs="Arial"/>
        </w:rPr>
        <w:t xml:space="preserve"> means a dryer that removes excess moisture from veneer by conveying the veneer through a heated medium on rollers, belts, cables, or wire mesh. Hardwood veneer dryers are used to dry veneer with less than 30 percent softwood species on an annual volume basis. Veneer kilns that operate as batch units, veneer dryers heated by radio frequency or microwaves that are used to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veneer, and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(defined elsewhere in this section) that are heated by conventional means are not considered to be hardwood veneer dryers. A </w:t>
      </w:r>
      <w:r w:rsidRPr="000F387B">
        <w:rPr>
          <w:rFonts w:ascii="Arial" w:eastAsia="Times New Roman" w:hAnsi="Arial" w:cs="Arial"/>
          <w:i/>
          <w:iCs/>
        </w:rPr>
        <w:t>hardwood veneer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Kiln-dried lumber</w:t>
      </w:r>
      <w:r w:rsidRPr="000F387B">
        <w:rPr>
          <w:rFonts w:ascii="Arial" w:eastAsia="Times New Roman" w:hAnsi="Arial" w:cs="Arial"/>
        </w:rPr>
        <w:t xml:space="preserve"> means solid wood lumber that has been dried in a lumber kiln.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Laminated strand lumber (LSL)</w:t>
      </w:r>
      <w:r w:rsidRPr="000F387B">
        <w:rPr>
          <w:rFonts w:ascii="Arial" w:eastAsia="Times New Roman" w:hAnsi="Arial" w:cs="Arial"/>
        </w:rPr>
        <w:t xml:space="preserve"> means a composite product formed into a billet made of thin wood strands cut from whole logs, </w:t>
      </w:r>
      <w:proofErr w:type="spellStart"/>
      <w:r w:rsidRPr="000F387B">
        <w:rPr>
          <w:rFonts w:ascii="Arial" w:eastAsia="Times New Roman" w:hAnsi="Arial" w:cs="Arial"/>
        </w:rPr>
        <w:t>resinated</w:t>
      </w:r>
      <w:proofErr w:type="spellEnd"/>
      <w:r w:rsidRPr="000F387B">
        <w:rPr>
          <w:rFonts w:ascii="Arial" w:eastAsia="Times New Roman" w:hAnsi="Arial" w:cs="Arial"/>
        </w:rPr>
        <w:t>, and pressed together with the grain of each strand oriented parallel to the length of the finished product.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Laminated veneer lumber (LVL)</w:t>
      </w:r>
      <w:r w:rsidRPr="000F387B">
        <w:rPr>
          <w:rFonts w:ascii="Arial" w:eastAsia="Times New Roman" w:hAnsi="Arial" w:cs="Arial"/>
        </w:rPr>
        <w:t xml:space="preserve"> means a composite product formed into a billet made from layers of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wood veneer sheets or pieces pressed together with the grain of each veneer aligned primarily along the length of the finished product. </w:t>
      </w:r>
      <w:r w:rsidRPr="000F387B">
        <w:rPr>
          <w:rFonts w:ascii="Arial" w:eastAsia="Times New Roman" w:hAnsi="Arial" w:cs="Arial"/>
          <w:i/>
          <w:iCs/>
        </w:rPr>
        <w:t>Laminated veneer lumber</w:t>
      </w:r>
      <w:r w:rsidRPr="000F387B">
        <w:rPr>
          <w:rFonts w:ascii="Arial" w:eastAsia="Times New Roman" w:hAnsi="Arial" w:cs="Arial"/>
        </w:rPr>
        <w:t xml:space="preserve"> is also known as parallel strand lumber (PSL).</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Lumber</w:t>
      </w:r>
      <w:r w:rsidRPr="000F387B">
        <w:rPr>
          <w:rFonts w:ascii="Arial" w:eastAsia="Times New Roman" w:hAnsi="Arial" w:cs="Arial"/>
        </w:rPr>
        <w:t xml:space="preserve"> means boards or planks sawed or split from logs or timber, including logs or timber processed for use as utility poles or other wood components. Lumber can be either green (non-dried) or dried. Lumber is typically either air-dried or kiln-dried.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Lumber kiln</w:t>
      </w:r>
      <w:r w:rsidRPr="000F387B">
        <w:rPr>
          <w:rFonts w:ascii="Arial" w:eastAsia="Times New Roman" w:hAnsi="Arial" w:cs="Arial"/>
        </w:rPr>
        <w:t xml:space="preserve"> means an enclosed dryer operated by applying heat to reduce the moisture content of lumber.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Medium density fiberboard (MDF)</w:t>
      </w:r>
      <w:r w:rsidRPr="000F387B">
        <w:rPr>
          <w:rFonts w:ascii="Arial" w:eastAsia="Times New Roman" w:hAnsi="Arial" w:cs="Arial"/>
        </w:rPr>
        <w:t xml:space="preserve"> means a composite panel composed of cellulosic fibers (usually wood or agricultural fiber) made by dry forming and pressing of a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fiber mat.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Method detection limit</w:t>
      </w:r>
      <w:r w:rsidRPr="000F387B">
        <w:rPr>
          <w:rFonts w:ascii="Arial" w:eastAsia="Times New Roman" w:hAnsi="Arial" w:cs="Arial"/>
        </w:rPr>
        <w:t xml:space="preserve"> means the minimum concentration of an </w:t>
      </w:r>
      <w:proofErr w:type="spellStart"/>
      <w:r w:rsidRPr="000F387B">
        <w:rPr>
          <w:rFonts w:ascii="Arial" w:eastAsia="Times New Roman" w:hAnsi="Arial" w:cs="Arial"/>
        </w:rPr>
        <w:t>analyte</w:t>
      </w:r>
      <w:proofErr w:type="spellEnd"/>
      <w:r w:rsidRPr="000F387B">
        <w:rPr>
          <w:rFonts w:ascii="Arial" w:eastAsia="Times New Roman" w:hAnsi="Arial" w:cs="Arial"/>
        </w:rPr>
        <w:t xml:space="preserve"> that can be determined with 99 percent confidence that the true value is greater than zero.</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Miscellaneous coating operations</w:t>
      </w:r>
      <w:r w:rsidRPr="000F387B">
        <w:rPr>
          <w:rFonts w:ascii="Arial" w:eastAsia="Times New Roman" w:hAnsi="Arial" w:cs="Arial"/>
        </w:rPr>
        <w:t xml:space="preserve"> means application of any of the following to plywood or composite wood products: edge seals, moisture sealants, anti-skid coatings, company logos, trademark or grade stamps, nail lines, synthetic patches, wood patches, wood putty, concrete forming oils, glues for veneer composing, and shelving edge fillers. Miscellaneous coating operations also include the application of primer to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xml:space="preserve"> siding that occurs at the same site as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xml:space="preserve"> manufacture and application of asphalt, clay slurry, or titanium dioxide coatings to fiberboard at the same site of fiberboard manufacture.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Molded particleboard</w:t>
      </w:r>
      <w:r w:rsidRPr="000F387B">
        <w:rPr>
          <w:rFonts w:ascii="Arial" w:eastAsia="Times New Roman" w:hAnsi="Arial" w:cs="Arial"/>
        </w:rPr>
        <w:t xml:space="preserve"> means a shaped composite product (other than a composite panel) composed primarily of cellulosic materials (usually wood or agricultural fiber) generally in the form of discrete pieces or particles, as distinguished from fibers, which are pressed together with resin.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MSF</w:t>
      </w:r>
      <w:r w:rsidRPr="000F387B">
        <w:rPr>
          <w:rFonts w:ascii="Arial" w:eastAsia="Times New Roman" w:hAnsi="Arial" w:cs="Arial"/>
        </w:rPr>
        <w:t xml:space="preserve"> means thousand square feet (92.9 square meters). Square footage of panels is usually measured on a thickness basis, such as </w:t>
      </w:r>
      <w:r w:rsidRPr="000F387B">
        <w:rPr>
          <w:rFonts w:ascii="Arial" w:eastAsia="Times New Roman" w:hAnsi="Arial" w:cs="Arial"/>
          <w:vertAlign w:val="superscript"/>
        </w:rPr>
        <w:t>3</w:t>
      </w:r>
      <w:r w:rsidRPr="000F387B">
        <w:rPr>
          <w:rFonts w:ascii="Arial" w:eastAsia="Times New Roman" w:hAnsi="Arial" w:cs="Arial"/>
        </w:rPr>
        <w:t>⁄</w:t>
      </w:r>
      <w:r w:rsidRPr="000F387B">
        <w:rPr>
          <w:rFonts w:ascii="Arial" w:eastAsia="Times New Roman" w:hAnsi="Arial" w:cs="Arial"/>
          <w:vertAlign w:val="subscript"/>
        </w:rPr>
        <w:t>8</w:t>
      </w:r>
      <w:r w:rsidRPr="000F387B">
        <w:rPr>
          <w:rFonts w:ascii="Arial" w:eastAsia="Times New Roman" w:hAnsi="Arial" w:cs="Arial"/>
        </w:rPr>
        <w:t xml:space="preserve"> -inch, to define the total volume of panels. Equation 6 of §63.2262(j) shows how to convert from one thickness basis to another.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spellStart"/>
      <w:r w:rsidRPr="000F387B">
        <w:rPr>
          <w:rFonts w:ascii="Arial" w:eastAsia="Times New Roman" w:hAnsi="Arial" w:cs="Arial"/>
          <w:i/>
          <w:iCs/>
        </w:rPr>
        <w:t>Nondetect</w:t>
      </w:r>
      <w:proofErr w:type="spellEnd"/>
      <w:r w:rsidRPr="000F387B">
        <w:rPr>
          <w:rFonts w:ascii="Arial" w:eastAsia="Times New Roman" w:hAnsi="Arial" w:cs="Arial"/>
          <w:i/>
          <w:iCs/>
        </w:rPr>
        <w:t xml:space="preserve"> data</w:t>
      </w:r>
      <w:r w:rsidRPr="000F387B">
        <w:rPr>
          <w:rFonts w:ascii="Arial" w:eastAsia="Times New Roman" w:hAnsi="Arial" w:cs="Arial"/>
        </w:rPr>
        <w:t xml:space="preserve"> means, for the purposes of this subpart, any value that is below the method detection limit.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Non-HAP coating</w:t>
      </w:r>
      <w:r w:rsidRPr="000F387B">
        <w:rPr>
          <w:rFonts w:ascii="Arial" w:eastAsia="Times New Roman" w:hAnsi="Arial" w:cs="Arial"/>
        </w:rPr>
        <w:t xml:space="preserve"> means a coating with HAP contents below 0.1 percent by mass for Occupational Safety and Health Administration-defined carcinogens as specified in 29 CFR 1910.1200(d)(4), and below 1.0 percent by mass for other HAP compounds.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1-hour period</w:t>
      </w:r>
      <w:r w:rsidRPr="000F387B">
        <w:rPr>
          <w:rFonts w:ascii="Arial" w:eastAsia="Times New Roman" w:hAnsi="Arial" w:cs="Arial"/>
        </w:rPr>
        <w:t xml:space="preserve"> means a 60-minute period.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 xml:space="preserve">Oriented </w:t>
      </w:r>
      <w:proofErr w:type="spellStart"/>
      <w:r w:rsidRPr="000F387B">
        <w:rPr>
          <w:rFonts w:ascii="Arial" w:eastAsia="Times New Roman" w:hAnsi="Arial" w:cs="Arial"/>
          <w:i/>
          <w:iCs/>
        </w:rPr>
        <w:t>strandboard</w:t>
      </w:r>
      <w:proofErr w:type="spellEnd"/>
      <w:r w:rsidRPr="000F387B">
        <w:rPr>
          <w:rFonts w:ascii="Arial" w:eastAsia="Times New Roman" w:hAnsi="Arial" w:cs="Arial"/>
          <w:i/>
          <w:iCs/>
        </w:rPr>
        <w:t xml:space="preserve"> (OSB)</w:t>
      </w:r>
      <w:r w:rsidRPr="000F387B">
        <w:rPr>
          <w:rFonts w:ascii="Arial" w:eastAsia="Times New Roman" w:hAnsi="Arial" w:cs="Arial"/>
        </w:rPr>
        <w:t xml:space="preserve"> means a composite panel produced from thin wood strands cut from whole logs, formed into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layers (with the grain of strands in one layer oriented perpendicular to the strands in adjacent layers), and pressed.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Oven-dried ton(s) (ODT)</w:t>
      </w:r>
      <w:r w:rsidRPr="000F387B">
        <w:rPr>
          <w:rFonts w:ascii="Arial" w:eastAsia="Times New Roman" w:hAnsi="Arial" w:cs="Arial"/>
        </w:rPr>
        <w:t xml:space="preserve"> means tons of wood dried until all of the moisture in the wood is removed. One oven-dried ton equals 907 oven-dried kilograms.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Parallel strand lumber (PSL)</w:t>
      </w:r>
      <w:r w:rsidRPr="000F387B">
        <w:rPr>
          <w:rFonts w:ascii="Arial" w:eastAsia="Times New Roman" w:hAnsi="Arial" w:cs="Arial"/>
        </w:rPr>
        <w:t xml:space="preserve"> means a composite product formed into a billet made from layers of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wood veneer sheets or pieces pressed together with the grain of each veneer aligned primarily along the length of the finished product. </w:t>
      </w:r>
      <w:r w:rsidRPr="000F387B">
        <w:rPr>
          <w:rFonts w:ascii="Arial" w:eastAsia="Times New Roman" w:hAnsi="Arial" w:cs="Arial"/>
          <w:i/>
          <w:iCs/>
        </w:rPr>
        <w:t>Parallel strand lumber</w:t>
      </w:r>
      <w:r w:rsidRPr="000F387B">
        <w:rPr>
          <w:rFonts w:ascii="Arial" w:eastAsia="Times New Roman" w:hAnsi="Arial" w:cs="Arial"/>
        </w:rPr>
        <w:t xml:space="preserve"> is also known as laminated veneer lumber (LVL).</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Partial wood products enclosure</w:t>
      </w:r>
      <w:r w:rsidRPr="000F387B">
        <w:rPr>
          <w:rFonts w:ascii="Arial" w:eastAsia="Times New Roman" w:hAnsi="Arial" w:cs="Arial"/>
        </w:rPr>
        <w:t xml:space="preserve"> means an enclosure that does not meet the design criteria for a wood products enclosure as defined in this subpart.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Particle</w:t>
      </w:r>
      <w:r w:rsidRPr="000F387B">
        <w:rPr>
          <w:rFonts w:ascii="Arial" w:eastAsia="Times New Roman" w:hAnsi="Arial" w:cs="Arial"/>
        </w:rPr>
        <w:t xml:space="preserve"> means a discrete, small piece of cellulosic material (usually wood or agricultural fiber) produced mechanically and used as the aggregate for a particleboard.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Particleboard</w:t>
      </w:r>
      <w:r w:rsidRPr="000F387B">
        <w:rPr>
          <w:rFonts w:ascii="Arial" w:eastAsia="Times New Roman" w:hAnsi="Arial" w:cs="Arial"/>
        </w:rPr>
        <w:t xml:space="preserve"> means a composite panel composed primarily of cellulosic materials (usually wood or agricultural fiber) generally in the form of discrete pieces or particles, as distinguished from fibers, which are pressed together with resin.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Plywood</w:t>
      </w:r>
      <w:r w:rsidRPr="000F387B">
        <w:rPr>
          <w:rFonts w:ascii="Arial" w:eastAsia="Times New Roman" w:hAnsi="Arial" w:cs="Arial"/>
        </w:rPr>
        <w:t xml:space="preserve"> means a panel product consisting of layers of wood veneers hot pressed together with resin. Plywood includes panel products made by hot pressing (with resin) veneers to a substrate such as particleboard, medium density fiberboard, or lumber. Plywood products may be flat or curved.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Plywood and composite wood products (PCWP) manufacturing facility</w:t>
      </w:r>
      <w:r w:rsidRPr="000F387B">
        <w:rPr>
          <w:rFonts w:ascii="Arial" w:eastAsia="Times New Roman" w:hAnsi="Arial" w:cs="Arial"/>
        </w:rPr>
        <w:t xml:space="preserve"> means a facility that manufactures plywood and/or composite wood products by bonding wood material (fibers, particles, strands, veneers, etc.) or agricultural fiber, generally with resin under heat and pressure, to form a panel, engineered wood product, or other product defined in §63.2292. Plywood and composite wood products manufacturing facilities also include facilities that manufacture dry veneer and lumber kilns located at any facility. Plywood and composite wood products include, but are not limited to, plywood, veneer, particleboard, molded particleboard,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hardboard, fiberboard, medium density fiberboard, laminated strand lumber, laminated veneer lumber, wood I-joists, kiln-dried lumber, and glue-laminated beams.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 xml:space="preserve">Press </w:t>
      </w:r>
      <w:proofErr w:type="spellStart"/>
      <w:r w:rsidRPr="000F387B">
        <w:rPr>
          <w:rFonts w:ascii="Arial" w:eastAsia="Times New Roman" w:hAnsi="Arial" w:cs="Arial"/>
          <w:i/>
          <w:iCs/>
        </w:rPr>
        <w:t>predryer</w:t>
      </w:r>
      <w:proofErr w:type="spellEnd"/>
      <w:r w:rsidRPr="000F387B">
        <w:rPr>
          <w:rFonts w:ascii="Arial" w:eastAsia="Times New Roman" w:hAnsi="Arial" w:cs="Arial"/>
        </w:rPr>
        <w:t xml:space="preserve"> means a dryer used to reduce the moisture and elevate the temperature by applying heat to a wet-formed fiber mat before the mat enters a hot press. A </w:t>
      </w:r>
      <w:r w:rsidRPr="000F387B">
        <w:rPr>
          <w:rFonts w:ascii="Arial" w:eastAsia="Times New Roman" w:hAnsi="Arial" w:cs="Arial"/>
          <w:i/>
          <w:iCs/>
        </w:rPr>
        <w:t xml:space="preserve">press </w:t>
      </w:r>
      <w:proofErr w:type="spellStart"/>
      <w:r w:rsidRPr="000F387B">
        <w:rPr>
          <w:rFonts w:ascii="Arial" w:eastAsia="Times New Roman" w:hAnsi="Arial" w:cs="Arial"/>
          <w:i/>
          <w:iCs/>
        </w:rPr>
        <w:t>predryer</w:t>
      </w:r>
      <w:proofErr w:type="spellEnd"/>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Pressurized refiner</w:t>
      </w:r>
      <w:r w:rsidRPr="000F387B">
        <w:rPr>
          <w:rFonts w:ascii="Arial" w:eastAsia="Times New Roman" w:hAnsi="Arial" w:cs="Arial"/>
        </w:rPr>
        <w:t xml:space="preserve"> means a piece of equipment operated under pressure for preheating (usually by steaming) wood material and refining (rubbing or grinding) the wood material into fibers. Pressurized refiners are operated with continuous infeed and </w:t>
      </w:r>
      <w:proofErr w:type="spellStart"/>
      <w:r w:rsidRPr="000F387B">
        <w:rPr>
          <w:rFonts w:ascii="Arial" w:eastAsia="Times New Roman" w:hAnsi="Arial" w:cs="Arial"/>
        </w:rPr>
        <w:t>outfeed</w:t>
      </w:r>
      <w:proofErr w:type="spellEnd"/>
      <w:r w:rsidRPr="000F387B">
        <w:rPr>
          <w:rFonts w:ascii="Arial" w:eastAsia="Times New Roman" w:hAnsi="Arial" w:cs="Arial"/>
        </w:rPr>
        <w:t xml:space="preserve"> of wood material and maintain elevated internal pressures (</w:t>
      </w:r>
      <w:r w:rsidRPr="000F387B">
        <w:rPr>
          <w:rFonts w:ascii="Arial" w:eastAsia="Times New Roman" w:hAnsi="Arial" w:cs="Arial"/>
          <w:i/>
          <w:iCs/>
        </w:rPr>
        <w:t>i.e.</w:t>
      </w:r>
      <w:r w:rsidRPr="000F387B">
        <w:rPr>
          <w:rFonts w:ascii="Arial" w:eastAsia="Times New Roman" w:hAnsi="Arial" w:cs="Arial"/>
        </w:rPr>
        <w:t xml:space="preserve">, there is no pressure release) throughout the preheating and refining process. A </w:t>
      </w:r>
      <w:r w:rsidRPr="000F387B">
        <w:rPr>
          <w:rFonts w:ascii="Arial" w:eastAsia="Times New Roman" w:hAnsi="Arial" w:cs="Arial"/>
          <w:i/>
          <w:iCs/>
        </w:rPr>
        <w:t>pressurized refiner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Primary tube dryer</w:t>
      </w:r>
      <w:r w:rsidRPr="000F387B">
        <w:rPr>
          <w:rFonts w:ascii="Arial" w:eastAsia="Times New Roman" w:hAnsi="Arial" w:cs="Arial"/>
        </w:rPr>
        <w:t xml:space="preserve"> means a single-stage tube dryer or the first stage of a multi-stage tube dryer. Tube dryer stages are separated by vents for removal of moist gases between stages (</w:t>
      </w:r>
      <w:r w:rsidRPr="000F387B">
        <w:rPr>
          <w:rFonts w:ascii="Arial" w:eastAsia="Times New Roman" w:hAnsi="Arial" w:cs="Arial"/>
          <w:i/>
          <w:iCs/>
        </w:rPr>
        <w:t>e.g.</w:t>
      </w:r>
      <w:r w:rsidRPr="000F387B">
        <w:rPr>
          <w:rFonts w:ascii="Arial" w:eastAsia="Times New Roman" w:hAnsi="Arial" w:cs="Arial"/>
        </w:rPr>
        <w:t xml:space="preserve">, a product cyclone at the end of a single-stage dryer or between the first and second stages of a multi-stage tube dryer). The first stage of a multi-stage tube dryer is used to remove the majority of the moisture from the wood furnish (compared to the moisture reduction in subsequent stages of the tube dryer). Blow-lines used to apply resin are considered part of the primary tube dryer. A </w:t>
      </w:r>
      <w:r w:rsidRPr="000F387B">
        <w:rPr>
          <w:rFonts w:ascii="Arial" w:eastAsia="Times New Roman" w:hAnsi="Arial" w:cs="Arial"/>
          <w:i/>
          <w:iCs/>
        </w:rPr>
        <w:t>primary tube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Process unit</w:t>
      </w:r>
      <w:r w:rsidRPr="000F387B">
        <w:rPr>
          <w:rFonts w:ascii="Arial" w:eastAsia="Times New Roman" w:hAnsi="Arial" w:cs="Arial"/>
        </w:rPr>
        <w:t xml:space="preserve"> means equipment classified according to its function such as a blender, dryer, press, former, or board cooler.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Reconstituted wood product board cooler</w:t>
      </w:r>
      <w:r w:rsidRPr="000F387B">
        <w:rPr>
          <w:rFonts w:ascii="Arial" w:eastAsia="Times New Roman" w:hAnsi="Arial" w:cs="Arial"/>
        </w:rPr>
        <w:t xml:space="preserve"> means a piece of equipment designed to reduce the temperature of a board by means of forced air or convection within a controlled time period after the board exits the reconstituted wood product press unloader. Board coolers include wicket and star type coolers commonly found at medium density fiberboard and particleboard plants. Board coolers do not include cooling sections of dryers (</w:t>
      </w:r>
      <w:r w:rsidRPr="000F387B">
        <w:rPr>
          <w:rFonts w:ascii="Arial" w:eastAsia="Times New Roman" w:hAnsi="Arial" w:cs="Arial"/>
          <w:i/>
          <w:iCs/>
        </w:rPr>
        <w:t>e.g.</w:t>
      </w:r>
      <w:r w:rsidRPr="000F387B">
        <w:rPr>
          <w:rFonts w:ascii="Arial" w:eastAsia="Times New Roman" w:hAnsi="Arial" w:cs="Arial"/>
        </w:rPr>
        <w:t xml:space="preserve">, veneer dryers or fiberboard mat dryers) or coolers integrated into or following hardboard bake ovens or humidifiers. A </w:t>
      </w:r>
      <w:r w:rsidRPr="000F387B">
        <w:rPr>
          <w:rFonts w:ascii="Arial" w:eastAsia="Times New Roman" w:hAnsi="Arial" w:cs="Arial"/>
          <w:i/>
          <w:iCs/>
        </w:rPr>
        <w:t>reconstituted wood product board cooler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Reconstituted wood product press</w:t>
      </w:r>
      <w:r w:rsidRPr="000F387B">
        <w:rPr>
          <w:rFonts w:ascii="Arial" w:eastAsia="Times New Roman" w:hAnsi="Arial" w:cs="Arial"/>
        </w:rPr>
        <w:t xml:space="preserve"> means a press, including (if applicable) the press unloader, that presses a </w:t>
      </w:r>
      <w:proofErr w:type="spellStart"/>
      <w:r w:rsidRPr="000F387B">
        <w:rPr>
          <w:rFonts w:ascii="Arial" w:eastAsia="Times New Roman" w:hAnsi="Arial" w:cs="Arial"/>
        </w:rPr>
        <w:t>resinated</w:t>
      </w:r>
      <w:proofErr w:type="spellEnd"/>
      <w:r w:rsidRPr="000F387B">
        <w:rPr>
          <w:rFonts w:ascii="Arial" w:eastAsia="Times New Roman" w:hAnsi="Arial" w:cs="Arial"/>
        </w:rPr>
        <w:t xml:space="preserve"> mat of wood fibers, particles, or strands between hot </w:t>
      </w:r>
      <w:proofErr w:type="spellStart"/>
      <w:r w:rsidRPr="000F387B">
        <w:rPr>
          <w:rFonts w:ascii="Arial" w:eastAsia="Times New Roman" w:hAnsi="Arial" w:cs="Arial"/>
        </w:rPr>
        <w:t>platens</w:t>
      </w:r>
      <w:proofErr w:type="spellEnd"/>
      <w:r w:rsidRPr="000F387B">
        <w:rPr>
          <w:rFonts w:ascii="Arial" w:eastAsia="Times New Roman" w:hAnsi="Arial" w:cs="Arial"/>
        </w:rPr>
        <w:t xml:space="preserve"> or hot rollers to compact and set the mat into a panel by simultaneous application of heat and pressure. Reconstituted wood product presses are used in the manufacture of hardboard, medium density fiberboard, particleboard, and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xml:space="preserve">. Extruders are not considered to be reconstituted wood product presses. A </w:t>
      </w:r>
      <w:r w:rsidRPr="000F387B">
        <w:rPr>
          <w:rFonts w:ascii="Arial" w:eastAsia="Times New Roman" w:hAnsi="Arial" w:cs="Arial"/>
          <w:i/>
          <w:iCs/>
        </w:rPr>
        <w:t>reconstituted wood product press</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Representative operating conditions</w:t>
      </w:r>
      <w:r w:rsidRPr="000F387B">
        <w:rPr>
          <w:rFonts w:ascii="Arial" w:eastAsia="Times New Roman" w:hAnsi="Arial" w:cs="Arial"/>
        </w:rPr>
        <w:t xml:space="preserve"> means operation of a process unit during performance testing under the conditions that the process unit will typically be operating in the future, including use of a representative range of materials (</w:t>
      </w:r>
      <w:r w:rsidRPr="000F387B">
        <w:rPr>
          <w:rFonts w:ascii="Arial" w:eastAsia="Times New Roman" w:hAnsi="Arial" w:cs="Arial"/>
          <w:i/>
          <w:iCs/>
        </w:rPr>
        <w:t>e.g.</w:t>
      </w:r>
      <w:r w:rsidRPr="000F387B">
        <w:rPr>
          <w:rFonts w:ascii="Arial" w:eastAsia="Times New Roman" w:hAnsi="Arial" w:cs="Arial"/>
        </w:rPr>
        <w:t>, wood material of a typical species mix and moisture content or typical resin formulation) and representative operating temperature range.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Resin</w:t>
      </w:r>
      <w:r w:rsidRPr="000F387B">
        <w:rPr>
          <w:rFonts w:ascii="Arial" w:eastAsia="Times New Roman" w:hAnsi="Arial" w:cs="Arial"/>
        </w:rPr>
        <w:t xml:space="preserve"> means the synthetic adhesive (including glue) or natural binder, including additives, used to bond wood or other cellulosic materials together to produce plywood and composite wood products.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Responsible official</w:t>
      </w:r>
      <w:r w:rsidRPr="000F387B">
        <w:rPr>
          <w:rFonts w:ascii="Arial" w:eastAsia="Times New Roman" w:hAnsi="Arial" w:cs="Arial"/>
        </w:rPr>
        <w:t xml:space="preserve"> means responsible official as defined in 40 CFR 70.2 and 40 CFR 71.2.</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Rotary strand dryer</w:t>
      </w:r>
      <w:r w:rsidRPr="000F387B">
        <w:rPr>
          <w:rFonts w:ascii="Arial" w:eastAsia="Times New Roman" w:hAnsi="Arial" w:cs="Arial"/>
        </w:rPr>
        <w:t xml:space="preserve"> means a rotary dryer operated by applying heat and used to reduce the moisture of wood strands used in the manufacture of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xml:space="preserve">, laminated strand lumber, or other wood strand-based products. A </w:t>
      </w:r>
      <w:r w:rsidRPr="000F387B">
        <w:rPr>
          <w:rFonts w:ascii="Arial" w:eastAsia="Times New Roman" w:hAnsi="Arial" w:cs="Arial"/>
          <w:i/>
          <w:iCs/>
        </w:rPr>
        <w:t>rotary strand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Secondary tube dryer</w:t>
      </w:r>
      <w:r w:rsidRPr="000F387B">
        <w:rPr>
          <w:rFonts w:ascii="Arial" w:eastAsia="Times New Roman" w:hAnsi="Arial" w:cs="Arial"/>
        </w:rPr>
        <w:t xml:space="preserve"> means the second stage and subsequent stages following the primary stage of a multi-stage tube dryer. Secondary tube dryers, also referred to as relay dryers, operate at lower temperatures than the primary tube dryer they follow. Secondary tube dryers are used to remove only a small amount of the furnish moisture compared to the furnish moisture reduction across the primary tube dryer. A </w:t>
      </w:r>
      <w:r w:rsidRPr="000F387B">
        <w:rPr>
          <w:rFonts w:ascii="Arial" w:eastAsia="Times New Roman" w:hAnsi="Arial" w:cs="Arial"/>
          <w:i/>
          <w:iCs/>
        </w:rPr>
        <w:t>secondary tube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Softwood</w:t>
      </w:r>
      <w:r w:rsidRPr="000F387B">
        <w:rPr>
          <w:rFonts w:ascii="Arial" w:eastAsia="Times New Roman" w:hAnsi="Arial" w:cs="Arial"/>
        </w:rPr>
        <w:t xml:space="preserve"> means the wood of a coniferous tree. Examples of softwoods include, but are not limited to, Southern yellow pine, Douglas fir, and White spruce.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Softwood veneer dryer</w:t>
      </w:r>
      <w:r w:rsidRPr="000F387B">
        <w:rPr>
          <w:rFonts w:ascii="Arial" w:eastAsia="Times New Roman" w:hAnsi="Arial" w:cs="Arial"/>
        </w:rPr>
        <w:t xml:space="preserve"> means a dryer that removes excess moisture from veneer by conveying the veneer through a heated medium, generally on rollers, belts, cables, or wire mesh. Softwood veneer dryers are used to dry veneer with greater than or equal to 30 percent softwood species on an annual volume basis. Veneer kilns that operate as batch units, veneer dryers heated by radio frequency or microwaves that are used to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veneer, and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(defined elsewhere in this section) that are heated by conventional means are not considered to be softwood veneer dryers. A </w:t>
      </w:r>
      <w:r w:rsidRPr="000F387B">
        <w:rPr>
          <w:rFonts w:ascii="Arial" w:eastAsia="Times New Roman" w:hAnsi="Arial" w:cs="Arial"/>
          <w:i/>
          <w:iCs/>
        </w:rPr>
        <w:t>softwood veneer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Startup</w:t>
      </w:r>
      <w:r w:rsidRPr="000F387B">
        <w:rPr>
          <w:rFonts w:ascii="Arial" w:eastAsia="Times New Roman" w:hAnsi="Arial" w:cs="Arial"/>
        </w:rPr>
        <w:t xml:space="preserve"> means bringing equipment online and starting the production process.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Startup, initial</w:t>
      </w:r>
      <w:r w:rsidRPr="000F387B">
        <w:rPr>
          <w:rFonts w:ascii="Arial" w:eastAsia="Times New Roman" w:hAnsi="Arial" w:cs="Arial"/>
        </w:rPr>
        <w:t xml:space="preserve"> means the first time equipment is put into operation. Initial startup does not include operation solely for testing equipment. Initial startup does not include subsequent startups (as defined in this section) following malfunction or shutdowns or following changes in product or between batch operations. Initial startup does not include startup of equipment that occurred when the source was an area source.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Startup, shutdown, and malfunction plan</w:t>
      </w:r>
      <w:r w:rsidRPr="000F387B">
        <w:rPr>
          <w:rFonts w:ascii="Arial" w:eastAsia="Times New Roman" w:hAnsi="Arial" w:cs="Arial"/>
        </w:rPr>
        <w:t xml:space="preserve"> (SSMP) means a plan developed according to the provisions of §63.6(e</w:t>
      </w:r>
      <w:proofErr w:type="gramStart"/>
      <w:r w:rsidRPr="000F387B">
        <w:rPr>
          <w:rFonts w:ascii="Arial" w:eastAsia="Times New Roman" w:hAnsi="Arial" w:cs="Arial"/>
        </w:rPr>
        <w:t>)(</w:t>
      </w:r>
      <w:proofErr w:type="gramEnd"/>
      <w:r w:rsidRPr="000F387B">
        <w:rPr>
          <w:rFonts w:ascii="Arial" w:eastAsia="Times New Roman" w:hAnsi="Arial" w:cs="Arial"/>
        </w:rPr>
        <w:t>3).</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Strand</w:t>
      </w:r>
      <w:r w:rsidRPr="000F387B">
        <w:rPr>
          <w:rFonts w:ascii="Arial" w:eastAsia="Times New Roman" w:hAnsi="Arial" w:cs="Arial"/>
        </w:rPr>
        <w:t xml:space="preserve"> means a long (with respect to thickness and width), flat wood piece specially cut from a log for use in oriented </w:t>
      </w:r>
      <w:proofErr w:type="spellStart"/>
      <w:r w:rsidRPr="000F387B">
        <w:rPr>
          <w:rFonts w:ascii="Arial" w:eastAsia="Times New Roman" w:hAnsi="Arial" w:cs="Arial"/>
        </w:rPr>
        <w:t>strandboard</w:t>
      </w:r>
      <w:proofErr w:type="spellEnd"/>
      <w:r w:rsidRPr="000F387B">
        <w:rPr>
          <w:rFonts w:ascii="Arial" w:eastAsia="Times New Roman" w:hAnsi="Arial" w:cs="Arial"/>
        </w:rPr>
        <w:t>, laminated strand lumber, or other wood strand-based product.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Temporary total enclosure (TTE)</w:t>
      </w:r>
      <w:r w:rsidRPr="000F387B">
        <w:rPr>
          <w:rFonts w:ascii="Arial" w:eastAsia="Times New Roman" w:hAnsi="Arial" w:cs="Arial"/>
        </w:rPr>
        <w:t xml:space="preserve"> means an enclosure constructed for the purpose of measuring the capture efficiency of pollutants emitted from a given source, as defined in Method 204 of 40 CFR part 51, appendix 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Thermal oxidizer</w:t>
      </w:r>
      <w:r w:rsidRPr="000F387B">
        <w:rPr>
          <w:rFonts w:ascii="Arial" w:eastAsia="Times New Roman" w:hAnsi="Arial" w:cs="Arial"/>
        </w:rPr>
        <w:t xml:space="preserve"> means a control system that combusts or oxidizes exhaust gas from a process unit. Thermal oxidizers include regenerative thermal oxidizers and combustion units.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Total hazardous air pollutant emissions</w:t>
      </w:r>
      <w:r w:rsidRPr="000F387B">
        <w:rPr>
          <w:rFonts w:ascii="Arial" w:eastAsia="Times New Roman" w:hAnsi="Arial" w:cs="Arial"/>
        </w:rPr>
        <w:t xml:space="preserve"> means, for purposes of this subpart, the sum of the emissions of the following six compounds: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Tube dryer</w:t>
      </w:r>
      <w:r w:rsidRPr="000F387B">
        <w:rPr>
          <w:rFonts w:ascii="Arial" w:eastAsia="Times New Roman" w:hAnsi="Arial" w:cs="Arial"/>
        </w:rPr>
        <w:t xml:space="preserve"> means a single-stage or multi-stage dryer operated by applying heat to reduce the moisture of wood fibers or particles as they are conveyed (usually pneumatically) through the dryer. Resin may or may not be applied to the wood material before it enters the tube dryer. Tube dryers do not include pneumatic fiber transport systems that use temperature and humidity conditioned pneumatic system supply air in order to prevent cooling of the wood fiber as it is moved through the process. A </w:t>
      </w:r>
      <w:r w:rsidRPr="000F387B">
        <w:rPr>
          <w:rFonts w:ascii="Arial" w:eastAsia="Times New Roman" w:hAnsi="Arial" w:cs="Arial"/>
          <w:i/>
          <w:iCs/>
        </w:rPr>
        <w:t>tube dryer</w:t>
      </w:r>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Veneer</w:t>
      </w:r>
      <w:r w:rsidRPr="000F387B">
        <w:rPr>
          <w:rFonts w:ascii="Arial" w:eastAsia="Times New Roman" w:hAnsi="Arial" w:cs="Arial"/>
        </w:rPr>
        <w:t xml:space="preserve"> means thin sheets of wood peeled or sliced from logs for use in the manufacture of wood products such as plywood, laminated veneer lumber, or other products.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 xml:space="preserve">Veneer </w:t>
      </w:r>
      <w:proofErr w:type="spellStart"/>
      <w:r w:rsidRPr="000F387B">
        <w:rPr>
          <w:rFonts w:ascii="Arial" w:eastAsia="Times New Roman" w:hAnsi="Arial" w:cs="Arial"/>
          <w:i/>
          <w:iCs/>
        </w:rPr>
        <w:t>redryer</w:t>
      </w:r>
      <w:proofErr w:type="spellEnd"/>
      <w:r w:rsidRPr="000F387B">
        <w:rPr>
          <w:rFonts w:ascii="Arial" w:eastAsia="Times New Roman" w:hAnsi="Arial" w:cs="Arial"/>
        </w:rPr>
        <w:t xml:space="preserve"> means a dryer heated by conventional means, such as direct wood-fired, direct-gas-fired, or steam heated, that is used to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veneer that has been previously dried. Because the veneer dried in a veneer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has been previously dried, the inlet moisture content of the veneer entering the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is less than 25 percent (by weight, dry basis). Batch units used to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veneer (such as </w:t>
      </w:r>
      <w:proofErr w:type="spellStart"/>
      <w:r w:rsidRPr="000F387B">
        <w:rPr>
          <w:rFonts w:ascii="Arial" w:eastAsia="Times New Roman" w:hAnsi="Arial" w:cs="Arial"/>
        </w:rPr>
        <w:t>redry</w:t>
      </w:r>
      <w:proofErr w:type="spellEnd"/>
      <w:r w:rsidRPr="000F387B">
        <w:rPr>
          <w:rFonts w:ascii="Arial" w:eastAsia="Times New Roman" w:hAnsi="Arial" w:cs="Arial"/>
        </w:rPr>
        <w:t xml:space="preserve"> cookers) are not considered to be veneer </w:t>
      </w:r>
      <w:proofErr w:type="spellStart"/>
      <w:r w:rsidRPr="000F387B">
        <w:rPr>
          <w:rFonts w:ascii="Arial" w:eastAsia="Times New Roman" w:hAnsi="Arial" w:cs="Arial"/>
        </w:rPr>
        <w:t>redryers</w:t>
      </w:r>
      <w:proofErr w:type="spellEnd"/>
      <w:r w:rsidRPr="000F387B">
        <w:rPr>
          <w:rFonts w:ascii="Arial" w:eastAsia="Times New Roman" w:hAnsi="Arial" w:cs="Arial"/>
        </w:rPr>
        <w:t xml:space="preserve">. A </w:t>
      </w:r>
      <w:r w:rsidRPr="000F387B">
        <w:rPr>
          <w:rFonts w:ascii="Arial" w:eastAsia="Times New Roman" w:hAnsi="Arial" w:cs="Arial"/>
          <w:i/>
          <w:iCs/>
        </w:rPr>
        <w:t xml:space="preserve">veneer </w:t>
      </w:r>
      <w:proofErr w:type="spellStart"/>
      <w:r w:rsidRPr="000F387B">
        <w:rPr>
          <w:rFonts w:ascii="Arial" w:eastAsia="Times New Roman" w:hAnsi="Arial" w:cs="Arial"/>
          <w:i/>
          <w:iCs/>
        </w:rPr>
        <w:t>redryer</w:t>
      </w:r>
      <w:proofErr w:type="spellEnd"/>
      <w:r w:rsidRPr="000F387B">
        <w:rPr>
          <w:rFonts w:ascii="Arial" w:eastAsia="Times New Roman" w:hAnsi="Arial" w:cs="Arial"/>
        </w:rPr>
        <w:t xml:space="preserve"> is a process unit.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Wet control device</w:t>
      </w:r>
      <w:r w:rsidRPr="000F387B">
        <w:rPr>
          <w:rFonts w:ascii="Arial" w:eastAsia="Times New Roman" w:hAnsi="Arial" w:cs="Arial"/>
        </w:rPr>
        <w:t xml:space="preserve"> means any equipment that uses water as a means of collecting an air pollutant. Wet control devices include scrubbers, wet electrostatic precipitators, and electrified filter beds. Wet control devices do not include </w:t>
      </w:r>
      <w:proofErr w:type="spellStart"/>
      <w:r w:rsidRPr="000F387B">
        <w:rPr>
          <w:rFonts w:ascii="Arial" w:eastAsia="Times New Roman" w:hAnsi="Arial" w:cs="Arial"/>
        </w:rPr>
        <w:t>biofilters</w:t>
      </w:r>
      <w:proofErr w:type="spellEnd"/>
      <w:r w:rsidRPr="000F387B">
        <w:rPr>
          <w:rFonts w:ascii="Arial" w:eastAsia="Times New Roman" w:hAnsi="Arial" w:cs="Arial"/>
        </w:rPr>
        <w:t xml:space="preserve"> or other equipment that destroys or degrades HAP.</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Wet forming</w:t>
      </w:r>
      <w:r w:rsidRPr="000F387B">
        <w:rPr>
          <w:rFonts w:ascii="Arial" w:eastAsia="Times New Roman" w:hAnsi="Arial" w:cs="Arial"/>
        </w:rPr>
        <w:t xml:space="preserve"> means the process of making a slurry of water, fiber, and additives into a mat of fibers to be compressed into a fiberboard or hardboard product.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Wood I-joists</w:t>
      </w:r>
      <w:r w:rsidRPr="000F387B">
        <w:rPr>
          <w:rFonts w:ascii="Arial" w:eastAsia="Times New Roman" w:hAnsi="Arial" w:cs="Arial"/>
        </w:rPr>
        <w:t xml:space="preserve"> means a structural wood beam with an I-shaped cross section formed by bonding (with resin) wood or laminated veneer lumber flanges onto a web cut from a panel such as plywood or oriented </w:t>
      </w:r>
      <w:proofErr w:type="spellStart"/>
      <w:r w:rsidRPr="000F387B">
        <w:rPr>
          <w:rFonts w:ascii="Arial" w:eastAsia="Times New Roman" w:hAnsi="Arial" w:cs="Arial"/>
        </w:rPr>
        <w:t>strandboard</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Wood products enclosure</w:t>
      </w:r>
      <w:r w:rsidRPr="000F387B">
        <w:rPr>
          <w:rFonts w:ascii="Arial" w:eastAsia="Times New Roman" w:hAnsi="Arial" w:cs="Arial"/>
        </w:rPr>
        <w:t xml:space="preserve"> means a permanently installed containment that was designed to meet the following physical design criteria:</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Any natural draft opening shall be at least four equivalent opening diameters from each HAP-emitting point, except for where board enters and exits the enclosure, unless otherwise specified by the EPA Administrator.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The total area of all natural draft openings shall not exceed 5 percent of the surface area of the enclosure's four walls, floor, and ceiling.</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The average facial velocity of air through all natural draft openings shall be at least 3,600 meters per hour (200 feet per minute). The direction of airflow through all natural draft openings shall be into the enclosure.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All access doors and windows whose areas are not included in item 2 of this definition and are not included in the calculation of facial velocity in item 3 of this definition shall be closed during routine operation of the process.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(5) The enclosure is designed and maintained to capture all emissions for discharge through a control device.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i/>
          <w:iCs/>
        </w:rPr>
        <w:t>Work practice requirement</w:t>
      </w:r>
      <w:r w:rsidRPr="000F387B">
        <w:rPr>
          <w:rFonts w:ascii="Arial" w:eastAsia="Times New Roman" w:hAnsi="Arial" w:cs="Arial"/>
        </w:rPr>
        <w:t xml:space="preserve"> means any design, equipment, work practice, or operational standard, or combination </w:t>
      </w:r>
      <w:proofErr w:type="gramStart"/>
      <w:r w:rsidRPr="000F387B">
        <w:rPr>
          <w:rFonts w:ascii="Arial" w:eastAsia="Times New Roman" w:hAnsi="Arial" w:cs="Arial"/>
        </w:rPr>
        <w:t>thereof, that</w:t>
      </w:r>
      <w:proofErr w:type="gramEnd"/>
      <w:r w:rsidRPr="000F387B">
        <w:rPr>
          <w:rFonts w:ascii="Arial" w:eastAsia="Times New Roman" w:hAnsi="Arial" w:cs="Arial"/>
        </w:rPr>
        <w:t xml:space="preserve"> is promulgated pursuant to section 112(h) of the CAA.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8372, Feb. 16, 2006]</w:t>
      </w:r>
    </w:p>
    <w:p w:rsidR="000F387B" w:rsidRPr="000F387B" w:rsidRDefault="000F387B" w:rsidP="000F387B">
      <w:pPr>
        <w:spacing w:before="200" w:after="100" w:afterAutospacing="1" w:line="240" w:lineRule="auto"/>
        <w:rPr>
          <w:rFonts w:ascii="Arial" w:eastAsia="Times New Roman" w:hAnsi="Arial" w:cs="Arial"/>
        </w:rPr>
      </w:pPr>
      <w:hyperlink r:id="rId113" w:anchor="_top" w:history="1">
        <w:r w:rsidRPr="000F387B">
          <w:rPr>
            <w:rFonts w:ascii="Arial" w:eastAsia="Times New Roman" w:hAnsi="Arial" w:cs="Arial"/>
            <w:noProof/>
            <w:color w:val="0000FF"/>
          </w:rPr>
          <w:drawing>
            <wp:inline distT="0" distB="0" distL="0" distR="0">
              <wp:extent cx="152400" cy="152400"/>
              <wp:effectExtent l="0" t="0" r="0" b="0"/>
              <wp:docPr id="15" name="Picture 1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36" w:name="ap40.13.63_12292.1"/>
      <w:bookmarkEnd w:id="36"/>
      <w:r w:rsidRPr="000F387B">
        <w:rPr>
          <w:rFonts w:ascii="Arial" w:eastAsia="Times New Roman" w:hAnsi="Arial" w:cs="Arial"/>
          <w:b/>
          <w:bCs/>
        </w:rPr>
        <w:t xml:space="preserve">Table 1A to Subpart DDDD of Part 63—Production-Based Compliance Options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4265"/>
        <w:gridCol w:w="5079"/>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process </w:t>
            </w:r>
            <w:proofErr w:type="gramStart"/>
            <w:r w:rsidRPr="000F387B">
              <w:rPr>
                <w:rFonts w:ascii="Arial" w:eastAsia="Times New Roman" w:hAnsi="Arial" w:cs="Arial"/>
                <w:b/>
                <w:bCs/>
              </w:rPr>
              <w:t>units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meet the following production-based compliance option (total </w:t>
            </w:r>
            <w:proofErr w:type="spellStart"/>
            <w:r w:rsidRPr="000F387B">
              <w:rPr>
                <w:rFonts w:ascii="Arial" w:eastAsia="Times New Roman" w:hAnsi="Arial" w:cs="Arial"/>
                <w:b/>
                <w:bCs/>
              </w:rPr>
              <w:t>HAP</w:t>
            </w:r>
            <w:r w:rsidRPr="000F387B">
              <w:rPr>
                <w:rFonts w:ascii="Arial" w:eastAsia="Times New Roman" w:hAnsi="Arial" w:cs="Arial"/>
                <w:b/>
                <w:bCs/>
                <w:vertAlign w:val="superscript"/>
              </w:rPr>
              <w:t>a</w:t>
            </w:r>
            <w:proofErr w:type="spellEnd"/>
            <w:r w:rsidRPr="000F387B">
              <w:rPr>
                <w:rFonts w:ascii="Arial" w:eastAsia="Times New Roman" w:hAnsi="Arial" w:cs="Arial"/>
                <w:b/>
                <w:bCs/>
              </w:rPr>
              <w:t xml:space="preserve"> basis</w:t>
            </w:r>
            <w:proofErr w:type="gramStart"/>
            <w:r w:rsidRPr="000F387B">
              <w:rPr>
                <w:rFonts w:ascii="Arial" w:eastAsia="Times New Roman" w:hAnsi="Arial" w:cs="Arial"/>
                <w:b/>
                <w:bCs/>
              </w:rPr>
              <w:t>)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Fiberboard mat dryer heated zones (at new affected sources only)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0.022 </w:t>
            </w:r>
            <w:proofErr w:type="spellStart"/>
            <w:r w:rsidRPr="000F387B">
              <w:rPr>
                <w:rFonts w:ascii="Arial" w:eastAsia="Times New Roman" w:hAnsi="Arial" w:cs="Arial"/>
              </w:rPr>
              <w:t>lb</w:t>
            </w:r>
            <w:proofErr w:type="spellEnd"/>
            <w:r w:rsidRPr="000F387B">
              <w:rPr>
                <w:rFonts w:ascii="Arial" w:eastAsia="Times New Roman" w:hAnsi="Arial" w:cs="Arial"/>
              </w:rPr>
              <w:t>/MSF 1/2</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Green rotary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0.058 </w:t>
            </w:r>
            <w:proofErr w:type="spellStart"/>
            <w:r w:rsidRPr="000F387B">
              <w:rPr>
                <w:rFonts w:ascii="Arial" w:eastAsia="Times New Roman" w:hAnsi="Arial" w:cs="Arial"/>
              </w:rPr>
              <w:t>lb</w:t>
            </w:r>
            <w:proofErr w:type="spellEnd"/>
            <w:r w:rsidRPr="000F387B">
              <w:rPr>
                <w:rFonts w:ascii="Arial" w:eastAsia="Times New Roman" w:hAnsi="Arial" w:cs="Arial"/>
              </w:rPr>
              <w:t>/ODT.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Hardboard ovens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0.022 </w:t>
            </w:r>
            <w:proofErr w:type="spellStart"/>
            <w:r w:rsidRPr="000F387B">
              <w:rPr>
                <w:rFonts w:ascii="Arial" w:eastAsia="Times New Roman" w:hAnsi="Arial" w:cs="Arial"/>
              </w:rPr>
              <w:t>lb</w:t>
            </w:r>
            <w:proofErr w:type="spellEnd"/>
            <w:r w:rsidRPr="000F387B">
              <w:rPr>
                <w:rFonts w:ascii="Arial" w:eastAsia="Times New Roman" w:hAnsi="Arial" w:cs="Arial"/>
              </w:rPr>
              <w:t>/MSF 1/8</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(4) Press </w:t>
            </w:r>
            <w:proofErr w:type="spellStart"/>
            <w:r w:rsidRPr="000F387B">
              <w:rPr>
                <w:rFonts w:ascii="Arial" w:eastAsia="Times New Roman" w:hAnsi="Arial" w:cs="Arial"/>
              </w:rPr>
              <w:t>predryers</w:t>
            </w:r>
            <w:proofErr w:type="spellEnd"/>
            <w:r w:rsidRPr="000F387B">
              <w:rPr>
                <w:rFonts w:ascii="Arial" w:eastAsia="Times New Roman" w:hAnsi="Arial" w:cs="Arial"/>
              </w:rPr>
              <w:t xml:space="preserve"> (at new affected sources only)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0.037 </w:t>
            </w:r>
            <w:proofErr w:type="spellStart"/>
            <w:r w:rsidRPr="000F387B">
              <w:rPr>
                <w:rFonts w:ascii="Arial" w:eastAsia="Times New Roman" w:hAnsi="Arial" w:cs="Arial"/>
              </w:rPr>
              <w:t>lb</w:t>
            </w:r>
            <w:proofErr w:type="spellEnd"/>
            <w:r w:rsidRPr="000F387B">
              <w:rPr>
                <w:rFonts w:ascii="Arial" w:eastAsia="Times New Roman" w:hAnsi="Arial" w:cs="Arial"/>
              </w:rPr>
              <w:t>/MSF 1/2</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Pressurized refiners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0.039 </w:t>
            </w:r>
            <w:proofErr w:type="spellStart"/>
            <w:r w:rsidRPr="000F387B">
              <w:rPr>
                <w:rFonts w:ascii="Arial" w:eastAsia="Times New Roman" w:hAnsi="Arial" w:cs="Arial"/>
              </w:rPr>
              <w:t>lb</w:t>
            </w:r>
            <w:proofErr w:type="spellEnd"/>
            <w:r w:rsidRPr="000F387B">
              <w:rPr>
                <w:rFonts w:ascii="Arial" w:eastAsia="Times New Roman" w:hAnsi="Arial" w:cs="Arial"/>
              </w:rPr>
              <w:t>/ODT.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 Primary tube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0.26 </w:t>
            </w:r>
            <w:proofErr w:type="spellStart"/>
            <w:r w:rsidRPr="000F387B">
              <w:rPr>
                <w:rFonts w:ascii="Arial" w:eastAsia="Times New Roman" w:hAnsi="Arial" w:cs="Arial"/>
              </w:rPr>
              <w:t>lb</w:t>
            </w:r>
            <w:proofErr w:type="spellEnd"/>
            <w:r w:rsidRPr="000F387B">
              <w:rPr>
                <w:rFonts w:ascii="Arial" w:eastAsia="Times New Roman" w:hAnsi="Arial" w:cs="Arial"/>
              </w:rPr>
              <w:t>/ODT.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(7) Reconstituted wood product board coolers (at new affected sources only)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0.014 </w:t>
            </w:r>
            <w:proofErr w:type="spellStart"/>
            <w:r w:rsidRPr="000F387B">
              <w:rPr>
                <w:rFonts w:ascii="Arial" w:eastAsia="Times New Roman" w:hAnsi="Arial" w:cs="Arial"/>
              </w:rPr>
              <w:t>lb</w:t>
            </w:r>
            <w:proofErr w:type="spellEnd"/>
            <w:r w:rsidRPr="000F387B">
              <w:rPr>
                <w:rFonts w:ascii="Arial" w:eastAsia="Times New Roman" w:hAnsi="Arial" w:cs="Arial"/>
              </w:rPr>
              <w:t>/MSF 3/4</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(8) Reconstituted wood product presses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0.30 </w:t>
            </w:r>
            <w:proofErr w:type="spellStart"/>
            <w:r w:rsidRPr="000F387B">
              <w:rPr>
                <w:rFonts w:ascii="Arial" w:eastAsia="Times New Roman" w:hAnsi="Arial" w:cs="Arial"/>
              </w:rPr>
              <w:t>lb</w:t>
            </w:r>
            <w:proofErr w:type="spellEnd"/>
            <w:r w:rsidRPr="000F387B">
              <w:rPr>
                <w:rFonts w:ascii="Arial" w:eastAsia="Times New Roman" w:hAnsi="Arial" w:cs="Arial"/>
              </w:rPr>
              <w:t>/MSF 3/4</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(9) Softwood veneer dryer heated zones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0.022 </w:t>
            </w:r>
            <w:proofErr w:type="spellStart"/>
            <w:r w:rsidRPr="000F387B">
              <w:rPr>
                <w:rFonts w:ascii="Arial" w:eastAsia="Times New Roman" w:hAnsi="Arial" w:cs="Arial"/>
              </w:rPr>
              <w:t>lb</w:t>
            </w:r>
            <w:proofErr w:type="spellEnd"/>
            <w:r w:rsidRPr="000F387B">
              <w:rPr>
                <w:rFonts w:ascii="Arial" w:eastAsia="Times New Roman" w:hAnsi="Arial" w:cs="Arial"/>
              </w:rPr>
              <w:t>/MSF 3/8</w:t>
            </w:r>
            <w:r w:rsidRPr="000F387B">
              <w:rPr>
                <w:rFonts w:ascii="Arial Unicode MS" w:eastAsia="Arial Unicode MS" w:hAnsi="Arial Unicode MS" w:cs="Arial Unicode MS" w:hint="eastAsia"/>
              </w:rPr>
              <w:t>″</w:t>
            </w:r>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(10) Rotary strand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0.18 </w:t>
            </w:r>
            <w:proofErr w:type="spellStart"/>
            <w:r w:rsidRPr="000F387B">
              <w:rPr>
                <w:rFonts w:ascii="Arial" w:eastAsia="Times New Roman" w:hAnsi="Arial" w:cs="Arial"/>
              </w:rPr>
              <w:t>lb</w:t>
            </w:r>
            <w:proofErr w:type="spellEnd"/>
            <w:r w:rsidRPr="000F387B">
              <w:rPr>
                <w:rFonts w:ascii="Arial" w:eastAsia="Times New Roman" w:hAnsi="Arial" w:cs="Arial"/>
              </w:rPr>
              <w:t>/ODT.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(11) Secondary tube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0.010 </w:t>
            </w:r>
            <w:proofErr w:type="spellStart"/>
            <w:r w:rsidRPr="000F387B">
              <w:rPr>
                <w:rFonts w:ascii="Arial" w:eastAsia="Times New Roman" w:hAnsi="Arial" w:cs="Arial"/>
              </w:rPr>
              <w:t>lb</w:t>
            </w:r>
            <w:proofErr w:type="spellEnd"/>
            <w:r w:rsidRPr="000F387B">
              <w:rPr>
                <w:rFonts w:ascii="Arial" w:eastAsia="Times New Roman" w:hAnsi="Arial" w:cs="Arial"/>
              </w:rPr>
              <w:t>/ODT.</w:t>
            </w:r>
          </w:p>
        </w:tc>
      </w:tr>
    </w:tbl>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spellStart"/>
      <w:proofErr w:type="gramStart"/>
      <w:r w:rsidRPr="000F387B">
        <w:rPr>
          <w:rFonts w:ascii="Arial" w:eastAsia="Times New Roman" w:hAnsi="Arial" w:cs="Arial"/>
          <w:vertAlign w:val="superscript"/>
        </w:rPr>
        <w:t>a</w:t>
      </w:r>
      <w:r w:rsidRPr="000F387B">
        <w:rPr>
          <w:rFonts w:ascii="Arial" w:eastAsia="Times New Roman" w:hAnsi="Arial" w:cs="Arial"/>
        </w:rPr>
        <w:t>Total</w:t>
      </w:r>
      <w:proofErr w:type="spellEnd"/>
      <w:proofErr w:type="gramEnd"/>
      <w:r w:rsidRPr="000F387B">
        <w:rPr>
          <w:rFonts w:ascii="Arial" w:eastAsia="Times New Roman" w:hAnsi="Arial" w:cs="Arial"/>
        </w:rPr>
        <w:t xml:space="preserve"> HAP, as defined in §63.2292, includes acetaldehyde, </w:t>
      </w:r>
      <w:proofErr w:type="spellStart"/>
      <w:r w:rsidRPr="000F387B">
        <w:rPr>
          <w:rFonts w:ascii="Arial" w:eastAsia="Times New Roman" w:hAnsi="Arial" w:cs="Arial"/>
        </w:rPr>
        <w:t>acrolein</w:t>
      </w:r>
      <w:proofErr w:type="spellEnd"/>
      <w:r w:rsidRPr="000F387B">
        <w:rPr>
          <w:rFonts w:ascii="Arial" w:eastAsia="Times New Roman" w:hAnsi="Arial" w:cs="Arial"/>
        </w:rPr>
        <w:t xml:space="preserve">, formaldehyde, methanol, phenol, and </w:t>
      </w:r>
      <w:proofErr w:type="spellStart"/>
      <w:r w:rsidRPr="000F387B">
        <w:rPr>
          <w:rFonts w:ascii="Arial" w:eastAsia="Times New Roman" w:hAnsi="Arial" w:cs="Arial"/>
        </w:rPr>
        <w:t>propionaldehyde</w:t>
      </w:r>
      <w:proofErr w:type="spellEnd"/>
      <w:r w:rsidRPr="000F387B">
        <w:rPr>
          <w:rFonts w:ascii="Arial" w:eastAsia="Times New Roman" w:hAnsi="Arial" w:cs="Arial"/>
        </w:rPr>
        <w:t xml:space="preserve">. </w:t>
      </w:r>
      <w:proofErr w:type="spellStart"/>
      <w:proofErr w:type="gramStart"/>
      <w:r w:rsidRPr="000F387B">
        <w:rPr>
          <w:rFonts w:ascii="Arial" w:eastAsia="Times New Roman" w:hAnsi="Arial" w:cs="Arial"/>
        </w:rPr>
        <w:t>lb</w:t>
      </w:r>
      <w:proofErr w:type="spellEnd"/>
      <w:r w:rsidRPr="000F387B">
        <w:rPr>
          <w:rFonts w:ascii="Arial" w:eastAsia="Times New Roman" w:hAnsi="Arial" w:cs="Arial"/>
        </w:rPr>
        <w:t>/ODT</w:t>
      </w:r>
      <w:proofErr w:type="gramEnd"/>
      <w:r w:rsidRPr="000F387B">
        <w:rPr>
          <w:rFonts w:ascii="Arial" w:eastAsia="Times New Roman" w:hAnsi="Arial" w:cs="Arial"/>
        </w:rPr>
        <w:t xml:space="preserve"> = pounds per oven-dried ton; </w:t>
      </w:r>
      <w:proofErr w:type="spellStart"/>
      <w:r w:rsidRPr="000F387B">
        <w:rPr>
          <w:rFonts w:ascii="Arial" w:eastAsia="Times New Roman" w:hAnsi="Arial" w:cs="Arial"/>
        </w:rPr>
        <w:t>lb</w:t>
      </w:r>
      <w:proofErr w:type="spellEnd"/>
      <w:r w:rsidRPr="000F387B">
        <w:rPr>
          <w:rFonts w:ascii="Arial" w:eastAsia="Times New Roman" w:hAnsi="Arial" w:cs="Arial"/>
        </w:rPr>
        <w:t>/MSF = pounds per thousand square feet with a specified thickness basis (inches). Section 63.2262(j) shows how to convert from one thickness basis to another.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Note: There is no production-based compliance option for conveyor strand dryers.</w:t>
      </w:r>
    </w:p>
    <w:p w:rsidR="000F387B" w:rsidRPr="000F387B" w:rsidRDefault="000F387B" w:rsidP="000F387B">
      <w:pPr>
        <w:spacing w:before="200" w:after="100" w:afterAutospacing="1" w:line="240" w:lineRule="auto"/>
        <w:rPr>
          <w:rFonts w:ascii="Arial" w:eastAsia="Times New Roman" w:hAnsi="Arial" w:cs="Arial"/>
        </w:rPr>
      </w:pPr>
      <w:hyperlink r:id="rId114" w:anchor="_top" w:history="1">
        <w:r w:rsidRPr="000F387B">
          <w:rPr>
            <w:rFonts w:ascii="Arial" w:eastAsia="Times New Roman" w:hAnsi="Arial" w:cs="Arial"/>
            <w:noProof/>
            <w:color w:val="0000FF"/>
          </w:rPr>
          <w:drawing>
            <wp:inline distT="0" distB="0" distL="0" distR="0">
              <wp:extent cx="152400" cy="152400"/>
              <wp:effectExtent l="0" t="0" r="0" b="0"/>
              <wp:docPr id="14" name="Picture 1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37" w:name="ap40.13.63_12292.2"/>
      <w:bookmarkEnd w:id="37"/>
      <w:r w:rsidRPr="000F387B">
        <w:rPr>
          <w:rFonts w:ascii="Arial" w:eastAsia="Times New Roman" w:hAnsi="Arial" w:cs="Arial"/>
          <w:b/>
          <w:bCs/>
        </w:rPr>
        <w:t>Table 1B to Subpart DDDD of Part 63—Add-on Control Systems Compliance Options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5730"/>
        <w:gridCol w:w="3614"/>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each of the following process </w:t>
            </w:r>
            <w:proofErr w:type="gramStart"/>
            <w:r w:rsidRPr="000F387B">
              <w:rPr>
                <w:rFonts w:ascii="Arial" w:eastAsia="Times New Roman" w:hAnsi="Arial" w:cs="Arial"/>
                <w:b/>
                <w:bCs/>
              </w:rPr>
              <w:t>units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comply with one of the following six compliance options by using an emissions control </w:t>
            </w:r>
            <w:proofErr w:type="gramStart"/>
            <w:r w:rsidRPr="000F387B">
              <w:rPr>
                <w:rFonts w:ascii="Arial" w:eastAsia="Times New Roman" w:hAnsi="Arial" w:cs="Arial"/>
                <w:b/>
                <w:bCs/>
              </w:rPr>
              <w:t>system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Fiberboard mat dryer heated zones (at new affected sources only); green rotary dryers; hardboard ovens; press </w:t>
            </w:r>
            <w:proofErr w:type="spellStart"/>
            <w:r w:rsidRPr="000F387B">
              <w:rPr>
                <w:rFonts w:ascii="Arial" w:eastAsia="Times New Roman" w:hAnsi="Arial" w:cs="Arial"/>
              </w:rPr>
              <w:t>predryers</w:t>
            </w:r>
            <w:proofErr w:type="spellEnd"/>
            <w:r w:rsidRPr="000F387B">
              <w:rPr>
                <w:rFonts w:ascii="Arial" w:eastAsia="Times New Roman" w:hAnsi="Arial" w:cs="Arial"/>
              </w:rPr>
              <w:t xml:space="preserve"> (at new affected sources only); pressurized refiners; primary tube dryers; secondary tube dryers; reconstituted wood product board coolers (at new affected sources only); reconstituted wood product presses; softwood veneer dryer heated zones; rotary strand dryers; conveyor strand dryer zone one (at existing affected sources); and conveyor strand dryer zones one and two (at new affected sources)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Reduce emissions of total HAP, measured as THC (as carbon)</w:t>
            </w:r>
            <w:r w:rsidRPr="000F387B">
              <w:rPr>
                <w:rFonts w:ascii="Arial" w:eastAsia="Times New Roman" w:hAnsi="Arial" w:cs="Arial"/>
                <w:vertAlign w:val="superscript"/>
              </w:rPr>
              <w:t>a</w:t>
            </w:r>
            <w:r w:rsidRPr="000F387B">
              <w:rPr>
                <w:rFonts w:ascii="Arial" w:eastAsia="Times New Roman" w:hAnsi="Arial" w:cs="Arial"/>
              </w:rPr>
              <w:t>, by 90 percent; or</w:t>
            </w:r>
            <w:r w:rsidRPr="000F387B">
              <w:rPr>
                <w:rFonts w:ascii="Arial" w:eastAsia="Times New Roman" w:hAnsi="Arial" w:cs="Arial"/>
              </w:rPr>
              <w:br/>
              <w:t>(2) Limit emissions of total HAP, measured as THC (as carbon)</w:t>
            </w:r>
            <w:r w:rsidRPr="000F387B">
              <w:rPr>
                <w:rFonts w:ascii="Arial" w:eastAsia="Times New Roman" w:hAnsi="Arial" w:cs="Arial"/>
                <w:vertAlign w:val="superscript"/>
              </w:rPr>
              <w:t>a</w:t>
            </w:r>
            <w:r w:rsidRPr="000F387B">
              <w:rPr>
                <w:rFonts w:ascii="Arial" w:eastAsia="Times New Roman" w:hAnsi="Arial" w:cs="Arial"/>
              </w:rPr>
              <w:t xml:space="preserve">, to 20 </w:t>
            </w:r>
            <w:proofErr w:type="spellStart"/>
            <w:r w:rsidRPr="000F387B">
              <w:rPr>
                <w:rFonts w:ascii="Arial" w:eastAsia="Times New Roman" w:hAnsi="Arial" w:cs="Arial"/>
              </w:rPr>
              <w:t>ppmvd</w:t>
            </w:r>
            <w:proofErr w:type="spellEnd"/>
            <w:r w:rsidRPr="000F387B">
              <w:rPr>
                <w:rFonts w:ascii="Arial" w:eastAsia="Times New Roman" w:hAnsi="Arial" w:cs="Arial"/>
              </w:rPr>
              <w:t>; or</w:t>
            </w:r>
            <w:r w:rsidRPr="000F387B">
              <w:rPr>
                <w:rFonts w:ascii="Arial" w:eastAsia="Times New Roman" w:hAnsi="Arial" w:cs="Arial"/>
              </w:rPr>
              <w:br/>
              <w:t>(3) Reduce methanol emissions by 90 percent; or</w:t>
            </w:r>
            <w:r w:rsidRPr="000F387B">
              <w:rPr>
                <w:rFonts w:ascii="Arial" w:eastAsia="Times New Roman" w:hAnsi="Arial" w:cs="Arial"/>
              </w:rPr>
              <w:br/>
              <w:t xml:space="preserve">(4) Limit methanol emissions to less than or equal to 1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if uncontrolled methanol emissions entering the control device are greater than or equal to 10 </w:t>
            </w:r>
            <w:proofErr w:type="spellStart"/>
            <w:r w:rsidRPr="000F387B">
              <w:rPr>
                <w:rFonts w:ascii="Arial" w:eastAsia="Times New Roman" w:hAnsi="Arial" w:cs="Arial"/>
              </w:rPr>
              <w:t>ppmvd</w:t>
            </w:r>
            <w:proofErr w:type="spellEnd"/>
            <w:r w:rsidRPr="000F387B">
              <w:rPr>
                <w:rFonts w:ascii="Arial" w:eastAsia="Times New Roman" w:hAnsi="Arial" w:cs="Arial"/>
              </w:rPr>
              <w:t>; or</w:t>
            </w:r>
            <w:r w:rsidRPr="000F387B">
              <w:rPr>
                <w:rFonts w:ascii="Arial" w:eastAsia="Times New Roman" w:hAnsi="Arial" w:cs="Arial"/>
              </w:rPr>
              <w:br/>
              <w:t>(5) Reduce formaldehyde emissions by 90 percent; or</w:t>
            </w:r>
            <w:r w:rsidRPr="000F387B">
              <w:rPr>
                <w:rFonts w:ascii="Arial" w:eastAsia="Times New Roman" w:hAnsi="Arial" w:cs="Arial"/>
              </w:rPr>
              <w:br/>
              <w:t xml:space="preserve">(6) Limit formaldehyde emissions to less than or equal to 1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if uncontrolled formaldehyde emissions entering the control device are greater than or equal to 10 </w:t>
            </w:r>
            <w:proofErr w:type="spellStart"/>
            <w:r w:rsidRPr="000F387B">
              <w:rPr>
                <w:rFonts w:ascii="Arial" w:eastAsia="Times New Roman" w:hAnsi="Arial" w:cs="Arial"/>
              </w:rPr>
              <w:t>ppmvd</w:t>
            </w:r>
            <w:proofErr w:type="spellEnd"/>
            <w:r w:rsidRPr="000F387B">
              <w:rPr>
                <w:rFonts w:ascii="Arial" w:eastAsia="Times New Roman" w:hAnsi="Arial" w:cs="Arial"/>
              </w:rPr>
              <w:t>.</w:t>
            </w:r>
          </w:p>
        </w:tc>
      </w:tr>
    </w:tbl>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spellStart"/>
      <w:proofErr w:type="gramStart"/>
      <w:r w:rsidRPr="000F387B">
        <w:rPr>
          <w:rFonts w:ascii="Arial" w:eastAsia="Times New Roman" w:hAnsi="Arial" w:cs="Arial"/>
          <w:vertAlign w:val="superscript"/>
        </w:rPr>
        <w:t>a</w:t>
      </w:r>
      <w:r w:rsidRPr="000F387B">
        <w:rPr>
          <w:rFonts w:ascii="Arial" w:eastAsia="Times New Roman" w:hAnsi="Arial" w:cs="Arial"/>
        </w:rPr>
        <w:t>You</w:t>
      </w:r>
      <w:proofErr w:type="spellEnd"/>
      <w:proofErr w:type="gramEnd"/>
      <w:r w:rsidRPr="000F387B">
        <w:rPr>
          <w:rFonts w:ascii="Arial" w:eastAsia="Times New Roman" w:hAnsi="Arial" w:cs="Arial"/>
        </w:rPr>
        <w:t xml:space="preserve"> may choose to subtract methane from THC as carbon measurements.</w:t>
      </w:r>
    </w:p>
    <w:p w:rsidR="000F387B" w:rsidRPr="000F387B" w:rsidRDefault="000F387B" w:rsidP="000F387B">
      <w:pPr>
        <w:spacing w:before="200" w:after="100" w:afterAutospacing="1" w:line="240" w:lineRule="auto"/>
        <w:rPr>
          <w:rFonts w:ascii="Arial" w:eastAsia="Times New Roman" w:hAnsi="Arial" w:cs="Arial"/>
        </w:rPr>
      </w:pPr>
      <w:hyperlink r:id="rId115" w:anchor="_top" w:history="1">
        <w:r w:rsidRPr="000F387B">
          <w:rPr>
            <w:rFonts w:ascii="Arial" w:eastAsia="Times New Roman" w:hAnsi="Arial" w:cs="Arial"/>
            <w:noProof/>
            <w:color w:val="0000FF"/>
          </w:rPr>
          <w:drawing>
            <wp:inline distT="0" distB="0" distL="0" distR="0">
              <wp:extent cx="152400" cy="152400"/>
              <wp:effectExtent l="0" t="0" r="0" b="0"/>
              <wp:docPr id="13" name="Picture 13"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38" w:name="ap40.13.63_12292.3"/>
      <w:bookmarkEnd w:id="38"/>
      <w:r w:rsidRPr="000F387B">
        <w:rPr>
          <w:rFonts w:ascii="Arial" w:eastAsia="Times New Roman" w:hAnsi="Arial" w:cs="Arial"/>
          <w:b/>
          <w:bCs/>
        </w:rPr>
        <w:t xml:space="preserve">Table 2 to Subpart DDDD of Part 63—Operating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784"/>
        <w:gridCol w:w="3640"/>
        <w:gridCol w:w="2920"/>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If you operate </w:t>
            </w:r>
            <w:proofErr w:type="gramStart"/>
            <w:r w:rsidRPr="000F387B">
              <w:rPr>
                <w:rFonts w:ascii="Arial" w:eastAsia="Times New Roman" w:hAnsi="Arial" w:cs="Arial"/>
                <w:b/>
                <w:bCs/>
              </w:rPr>
              <w:t>a(</w:t>
            </w:r>
            <w:proofErr w:type="gramEnd"/>
            <w:r w:rsidRPr="000F387B">
              <w:rPr>
                <w:rFonts w:ascii="Arial" w:eastAsia="Times New Roman" w:hAnsi="Arial" w:cs="Arial"/>
                <w:b/>
                <w:bCs/>
              </w:rPr>
              <w:t>n)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w:t>
            </w:r>
            <w:proofErr w:type="gramStart"/>
            <w:r w:rsidRPr="000F387B">
              <w:rPr>
                <w:rFonts w:ascii="Arial" w:eastAsia="Times New Roman" w:hAnsi="Arial" w:cs="Arial"/>
                <w:b/>
                <w:bCs/>
              </w:rPr>
              <w:t>must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Or you </w:t>
            </w:r>
            <w:proofErr w:type="gramStart"/>
            <w:r w:rsidRPr="000F387B">
              <w:rPr>
                <w:rFonts w:ascii="Arial" w:eastAsia="Times New Roman" w:hAnsi="Arial" w:cs="Arial"/>
                <w:b/>
                <w:bCs/>
              </w:rPr>
              <w:t>must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Thermal oxidizer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 the 3-hour block average firebox temperature above the minimum temperature established during the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3-hour block average THC </w:t>
            </w:r>
            <w:proofErr w:type="spellStart"/>
            <w:r w:rsidRPr="000F387B">
              <w:rPr>
                <w:rFonts w:ascii="Arial" w:eastAsia="Times New Roman" w:hAnsi="Arial" w:cs="Arial"/>
              </w:rPr>
              <w:t>concentration</w:t>
            </w:r>
            <w:r w:rsidRPr="000F387B">
              <w:rPr>
                <w:rFonts w:ascii="Arial" w:eastAsia="Times New Roman" w:hAnsi="Arial" w:cs="Arial"/>
                <w:vertAlign w:val="superscript"/>
              </w:rPr>
              <w:t>a</w:t>
            </w:r>
            <w:proofErr w:type="spellEnd"/>
            <w:r w:rsidRPr="000F387B">
              <w:rPr>
                <w:rFonts w:ascii="Arial" w:eastAsia="Times New Roman" w:hAnsi="Arial" w:cs="Arial"/>
              </w:rPr>
              <w:t xml:space="preserve"> in the thermal oxidizer exhaust below the maximum concentration established during the performance test.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Catalytic oxidizer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 the 3-hour block average catalytic oxidizer temperature above the minimum temperature established during the performance test; AND check the activity level of a representative sample of the catalyst at least every 12 months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3-hour block average THC </w:t>
            </w:r>
            <w:proofErr w:type="spellStart"/>
            <w:r w:rsidRPr="000F387B">
              <w:rPr>
                <w:rFonts w:ascii="Arial" w:eastAsia="Times New Roman" w:hAnsi="Arial" w:cs="Arial"/>
              </w:rPr>
              <w:t>concentration</w:t>
            </w:r>
            <w:r w:rsidRPr="000F387B">
              <w:rPr>
                <w:rFonts w:ascii="Arial" w:eastAsia="Times New Roman" w:hAnsi="Arial" w:cs="Arial"/>
                <w:vertAlign w:val="superscript"/>
              </w:rPr>
              <w:t>a</w:t>
            </w:r>
            <w:proofErr w:type="spellEnd"/>
            <w:r w:rsidRPr="000F387B">
              <w:rPr>
                <w:rFonts w:ascii="Arial" w:eastAsia="Times New Roman" w:hAnsi="Arial" w:cs="Arial"/>
              </w:rPr>
              <w:t xml:space="preserve"> in the catalytic oxidizer exhaust below the maximum concentration established during the performance test.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(3) </w:t>
            </w:r>
            <w:proofErr w:type="spellStart"/>
            <w:r w:rsidRPr="000F387B">
              <w:rPr>
                <w:rFonts w:ascii="Arial" w:eastAsia="Times New Roman" w:hAnsi="Arial" w:cs="Arial"/>
              </w:rPr>
              <w:t>Biofilter</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24-hour block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temperature within the range established according to §63.2262(m)</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24-hour block average THC </w:t>
            </w:r>
            <w:proofErr w:type="spellStart"/>
            <w:r w:rsidRPr="000F387B">
              <w:rPr>
                <w:rFonts w:ascii="Arial" w:eastAsia="Times New Roman" w:hAnsi="Arial" w:cs="Arial"/>
              </w:rPr>
              <w:t>concentration</w:t>
            </w:r>
            <w:r w:rsidRPr="000F387B">
              <w:rPr>
                <w:rFonts w:ascii="Arial" w:eastAsia="Times New Roman" w:hAnsi="Arial" w:cs="Arial"/>
                <w:vertAlign w:val="superscript"/>
              </w:rPr>
              <w:t>a</w:t>
            </w:r>
            <w:proofErr w:type="spellEnd"/>
            <w:r w:rsidRPr="000F387B">
              <w:rPr>
                <w:rFonts w:ascii="Arial" w:eastAsia="Times New Roman" w:hAnsi="Arial" w:cs="Arial"/>
              </w:rPr>
              <w:t xml:space="preserve"> in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exhaust below the maximum concentration established during the performance test.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(4) Control device other than a thermal oxidizer, catalytic oxidizer, or </w:t>
            </w:r>
            <w:proofErr w:type="spellStart"/>
            <w:r w:rsidRPr="000F387B">
              <w:rPr>
                <w:rFonts w:ascii="Arial" w:eastAsia="Times New Roman" w:hAnsi="Arial" w:cs="Arial"/>
              </w:rPr>
              <w:t>biofilter</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Petition the EPA Administrator for site-specific operating parameter(s) to be established during the performance test and maintain the average operating parameter(s) within the range(s) established during the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3-hour block average THC </w:t>
            </w:r>
            <w:proofErr w:type="spellStart"/>
            <w:r w:rsidRPr="000F387B">
              <w:rPr>
                <w:rFonts w:ascii="Arial" w:eastAsia="Times New Roman" w:hAnsi="Arial" w:cs="Arial"/>
              </w:rPr>
              <w:t>concentration</w:t>
            </w:r>
            <w:r w:rsidRPr="000F387B">
              <w:rPr>
                <w:rFonts w:ascii="Arial" w:eastAsia="Times New Roman" w:hAnsi="Arial" w:cs="Arial"/>
                <w:vertAlign w:val="superscript"/>
              </w:rPr>
              <w:t>a</w:t>
            </w:r>
            <w:proofErr w:type="spellEnd"/>
            <w:r w:rsidRPr="000F387B">
              <w:rPr>
                <w:rFonts w:ascii="Arial" w:eastAsia="Times New Roman" w:hAnsi="Arial" w:cs="Arial"/>
              </w:rPr>
              <w:t xml:space="preserve"> in the control device exhaust below the maximum concentration established during the performance test.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Process unit that meets a compliance option in Table 1A of this subpart, or a process unit that generates debits in an emissions average without the use of a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 on a daily basis the process unit controlling operating parameter(s) within the ranges established during the performance test according to §63.2262(n)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Maintain the 3-hour block average THC </w:t>
            </w:r>
            <w:proofErr w:type="spellStart"/>
            <w:r w:rsidRPr="000F387B">
              <w:rPr>
                <w:rFonts w:ascii="Arial" w:eastAsia="Times New Roman" w:hAnsi="Arial" w:cs="Arial"/>
              </w:rPr>
              <w:t>concentration</w:t>
            </w:r>
            <w:r w:rsidRPr="000F387B">
              <w:rPr>
                <w:rFonts w:ascii="Arial" w:eastAsia="Times New Roman" w:hAnsi="Arial" w:cs="Arial"/>
                <w:vertAlign w:val="superscript"/>
              </w:rPr>
              <w:t>a</w:t>
            </w:r>
            <w:proofErr w:type="spellEnd"/>
            <w:r w:rsidRPr="000F387B">
              <w:rPr>
                <w:rFonts w:ascii="Arial" w:eastAsia="Times New Roman" w:hAnsi="Arial" w:cs="Arial"/>
              </w:rPr>
              <w:t xml:space="preserve"> in the process unit exhaust below the maximum concentration established during the performance test.</w:t>
            </w:r>
          </w:p>
        </w:tc>
      </w:tr>
    </w:tbl>
    <w:p w:rsidR="000F387B" w:rsidRPr="000F387B" w:rsidRDefault="000F387B" w:rsidP="000F387B">
      <w:pPr>
        <w:spacing w:before="100" w:beforeAutospacing="1" w:after="100" w:afterAutospacing="1" w:line="240" w:lineRule="auto"/>
        <w:ind w:firstLine="480"/>
        <w:rPr>
          <w:rFonts w:ascii="Arial" w:eastAsia="Times New Roman" w:hAnsi="Arial" w:cs="Arial"/>
        </w:rPr>
      </w:pPr>
      <w:proofErr w:type="spellStart"/>
      <w:proofErr w:type="gramStart"/>
      <w:r w:rsidRPr="000F387B">
        <w:rPr>
          <w:rFonts w:ascii="Arial" w:eastAsia="Times New Roman" w:hAnsi="Arial" w:cs="Arial"/>
          <w:vertAlign w:val="superscript"/>
        </w:rPr>
        <w:t>a</w:t>
      </w:r>
      <w:r w:rsidRPr="000F387B">
        <w:rPr>
          <w:rFonts w:ascii="Arial" w:eastAsia="Times New Roman" w:hAnsi="Arial" w:cs="Arial"/>
        </w:rPr>
        <w:t>You</w:t>
      </w:r>
      <w:proofErr w:type="spellEnd"/>
      <w:proofErr w:type="gramEnd"/>
      <w:r w:rsidRPr="000F387B">
        <w:rPr>
          <w:rFonts w:ascii="Arial" w:eastAsia="Times New Roman" w:hAnsi="Arial" w:cs="Arial"/>
        </w:rPr>
        <w:t xml:space="preserve"> may choose to subtract methane from THC measurements.</w:t>
      </w:r>
    </w:p>
    <w:p w:rsidR="000F387B" w:rsidRPr="000F387B" w:rsidRDefault="000F387B" w:rsidP="000F387B">
      <w:pPr>
        <w:spacing w:before="200" w:after="100" w:afterAutospacing="1" w:line="240" w:lineRule="auto"/>
        <w:rPr>
          <w:rFonts w:ascii="Arial" w:eastAsia="Times New Roman" w:hAnsi="Arial" w:cs="Arial"/>
        </w:rPr>
      </w:pPr>
      <w:hyperlink r:id="rId116" w:anchor="_top" w:history="1">
        <w:r w:rsidRPr="000F387B">
          <w:rPr>
            <w:rFonts w:ascii="Arial" w:eastAsia="Times New Roman" w:hAnsi="Arial" w:cs="Arial"/>
            <w:noProof/>
            <w:color w:val="0000FF"/>
          </w:rPr>
          <w:drawing>
            <wp:inline distT="0" distB="0" distL="0" distR="0">
              <wp:extent cx="152400" cy="152400"/>
              <wp:effectExtent l="0" t="0" r="0" b="0"/>
              <wp:docPr id="12" name="Picture 12"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39" w:name="ap40.13.63_12292.4"/>
      <w:bookmarkEnd w:id="39"/>
      <w:r w:rsidRPr="000F387B">
        <w:rPr>
          <w:rFonts w:ascii="Arial" w:eastAsia="Times New Roman" w:hAnsi="Arial" w:cs="Arial"/>
          <w:b/>
          <w:bCs/>
        </w:rPr>
        <w:t>Table 3 to Subpart DDDD of Part 63—Work Practice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946"/>
        <w:gridCol w:w="6398"/>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process units at existing or new affected </w:t>
            </w:r>
            <w:proofErr w:type="gramStart"/>
            <w:r w:rsidRPr="000F387B">
              <w:rPr>
                <w:rFonts w:ascii="Arial" w:eastAsia="Times New Roman" w:hAnsi="Arial" w:cs="Arial"/>
                <w:b/>
                <w:bCs/>
              </w:rPr>
              <w:t>sources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w:t>
            </w:r>
            <w:proofErr w:type="gramStart"/>
            <w:r w:rsidRPr="000F387B">
              <w:rPr>
                <w:rFonts w:ascii="Arial" w:eastAsia="Times New Roman" w:hAnsi="Arial" w:cs="Arial"/>
                <w:b/>
                <w:bCs/>
              </w:rPr>
              <w:t>must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Dry rotary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furnish with a 24-hour block average inlet moisture content of less than or equal to 30 percent (by weight, dry basis); AND operate with a 24-hour block average inlet dryer temperature of less than or equal to 600 °F.</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Hardwood veneer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less than 30 volume percent softwood species on an annual basis.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Softwood veneer dryers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Minimize fugitive emissions from the dryer doors through (proper maintenance procedures) and the green end of the dryers (through proper balancing of the heated zone exhausts).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(4) Veneer </w:t>
            </w:r>
            <w:proofErr w:type="spellStart"/>
            <w:r w:rsidRPr="000F387B">
              <w:rPr>
                <w:rFonts w:ascii="Arial" w:eastAsia="Times New Roman" w:hAnsi="Arial" w:cs="Arial"/>
              </w:rPr>
              <w:t>redryers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veneer that has been previously dried, such that the 24-hour block average inlet moisture content of the veneer is less than or equal to 25 percent (by weight, dry basis).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Group 1 miscellaneous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Use non-HAP coatings as defined in §63.2292.</w:t>
            </w:r>
          </w:p>
        </w:tc>
      </w:tr>
    </w:tbl>
    <w:p w:rsidR="000F387B" w:rsidRPr="000F387B" w:rsidRDefault="000F387B" w:rsidP="000F387B">
      <w:pPr>
        <w:spacing w:before="200" w:after="100" w:afterAutospacing="1" w:line="240" w:lineRule="auto"/>
        <w:rPr>
          <w:rFonts w:ascii="Arial" w:eastAsia="Times New Roman" w:hAnsi="Arial" w:cs="Arial"/>
        </w:rPr>
      </w:pPr>
      <w:hyperlink r:id="rId117" w:anchor="_top" w:history="1">
        <w:r w:rsidRPr="000F387B">
          <w:rPr>
            <w:rFonts w:ascii="Arial" w:eastAsia="Times New Roman" w:hAnsi="Arial" w:cs="Arial"/>
            <w:noProof/>
            <w:color w:val="0000FF"/>
          </w:rPr>
          <w:drawing>
            <wp:inline distT="0" distB="0" distL="0" distR="0">
              <wp:extent cx="152400" cy="152400"/>
              <wp:effectExtent l="0" t="0" r="0" b="0"/>
              <wp:docPr id="11" name="Picture 1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0" w:name="ap40.13.63_12292.5"/>
      <w:bookmarkEnd w:id="40"/>
      <w:r w:rsidRPr="000F387B">
        <w:rPr>
          <w:rFonts w:ascii="Arial" w:eastAsia="Times New Roman" w:hAnsi="Arial" w:cs="Arial"/>
          <w:b/>
          <w:bCs/>
        </w:rPr>
        <w:t xml:space="preserve">Table 4 to Subpart DDDD of Part 63—Requirements for Performance Tests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165"/>
        <w:gridCol w:w="2200"/>
        <w:gridCol w:w="3979"/>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proofErr w:type="gramStart"/>
            <w:r w:rsidRPr="000F387B">
              <w:rPr>
                <w:rFonts w:ascii="Arial" w:eastAsia="Times New Roman" w:hAnsi="Arial" w:cs="Arial"/>
                <w:b/>
                <w:bCs/>
              </w:rPr>
              <w:t>For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w:t>
            </w:r>
            <w:proofErr w:type="gramStart"/>
            <w:r w:rsidRPr="000F387B">
              <w:rPr>
                <w:rFonts w:ascii="Arial" w:eastAsia="Times New Roman" w:hAnsi="Arial" w:cs="Arial"/>
                <w:b/>
                <w:bCs/>
              </w:rPr>
              <w:t>must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proofErr w:type="gramStart"/>
            <w:r w:rsidRPr="000F387B">
              <w:rPr>
                <w:rFonts w:ascii="Arial" w:eastAsia="Times New Roman" w:hAnsi="Arial" w:cs="Arial"/>
                <w:b/>
                <w:bCs/>
              </w:rPr>
              <w:t>Using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each process unit subject to a compliance option in table 1A or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select sampling port's location and the number of traverse 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1 or 1A of 40 CFR part 60, appendix A (as appropriate).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each process unit subject to a compliance option in table 1A or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determine velocity and volumetric flow rate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2 in addition to Method 2A, 2C, 2D, 2F, or 2G in appendix A to 40 CFR part 60 (as appropriate).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each process unit subject to a compliance option in table 1A or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conduct gas molecular weight analysis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3, 3A, or 3B in appendix A to 40 CFR part 60 (as appropriate).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(4) each process unit subject to a compliance option in table 1A or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 moisture content of the stack gas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4 in appendix A to 40 CFR part 60; OR Method 320 in appendix A to 40 CFR part 63; OR ASTM D6348-03 (IBR, see §63.14(b)).</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each process unit subject to a compliance option in table 1B to this subpart for which you choose to demonstrate compliance using a total HAP as THC compliance option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 emissions of total HAP as THC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25A in appendix A to 40 CFR part 60. You may measure emissions of methane using EPA Method 18 in appendix A to 40 CFR part 60 and subtract the methane emissions from the emissions of total HAP as THC.</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 each process unit subject to a compliance option in table 1A to this subpart; OR for each process unit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 emissions of total HAP (as defined in §63.2292)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320 in appendix A to 40 CFR part 63; OR the NCASI Method IM/CAN/WP-99.02 (IBR, see §63.14(f)); OR the NCASI Method ISS/FP-A105.01 (IBR, see §63.14(f)); OR ASTM D6348-03 (IBR, see §63.14(b)) provided that percent R as determined in Annex A5 of ASTM D6348-03 is equal or greater than 70 percent and less than or equal to 130 percent.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(7) each process unit subject to a compliance option in table 1B to this subpart for which you choose to demonstrate compliance using a methanol compliance option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 emissions of methanol</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308 in appendix A to 40 CFR part 63; OR Method 320 in appendix A to 40 CFR part 63; OR the NCASI Method CI/WP-98.01 (IBR, see §63.14(f)); OR the NCASI Method IM/CAN/WP-99.02 (IBR, see §63.14(f)); OR the NCASI Method ISS/FP-A105.01 (IBR, see §63.14(f)).</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(8) each process unit subject to a compliance option in table 1B to this subpart for which you choose to demonstrate compliance using a formaldehyde compliance option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 emissions of formaldehyde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 316 in appendix A to 40 CFR part 63; OR Method 320 in appendix A to 40 CFR part 63; OR Method 0011 in “Test Methods for Evaluating Solid Waste, Physical/Chemical Methods” (EPA Publication No. SW-846) for formaldehyde; OR the NCASI Method CI/WP-98.01 (IBR, see §63.14(f)); OR the NCASI Method IM/CAN/WP-99.02 (IBR, see §63.14(f)); OR the NCASI Method ISS/FP-A105.01 (IBR, see §63.14(f)).</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(9) each reconstituted wood product press at a new or existing affected source or reconstituted wood product board cooler at a new affected source subject to a compliance option in table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meet the design specifications included in the definition of wood products enclosure in §63.2292; or</w:t>
            </w:r>
            <w:r w:rsidRPr="000F387B">
              <w:rPr>
                <w:rFonts w:ascii="Arial" w:eastAsia="Times New Roman" w:hAnsi="Arial" w:cs="Arial"/>
              </w:rPr>
              <w:br/>
              <w:t>determine the percent capture efficiency of the enclosure directing emissions to an add-on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Methods 204 and 204A through 204F of 40 CFR part 51, appendix M, to determine capture efficiency (except for wood products enclosures as defined in §63.2292). Enclosures that meet the definition of wood products enclosure or that meet Method 204 requirements for a permanent total enclosure (PTE) are assumed to have a capture efficiency of 100 percent. Enclosures that do not meet either the PTE requirements or design criteria for a wood products enclosure must determine the capture efficiency by constructing a TTE according to the requirements of Method 204 and applying Methods 204A through 204F (as appropriate). As an alternative to Methods 204 and 204A through 204F, you may use the tracer gas method contained in appendix A to this subpart.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(10) each reconstituted wood product press at a new or existing affected source or reconstituted wood product board cooler at a new affected source subject to a compliance option in table 1A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determine the percent capture efficiency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roofErr w:type="gramStart"/>
            <w:r w:rsidRPr="000F387B">
              <w:rPr>
                <w:rFonts w:ascii="Arial" w:eastAsia="Times New Roman" w:hAnsi="Arial" w:cs="Arial"/>
              </w:rPr>
              <w:t>a</w:t>
            </w:r>
            <w:proofErr w:type="gramEnd"/>
            <w:r w:rsidRPr="000F387B">
              <w:rPr>
                <w:rFonts w:ascii="Arial" w:eastAsia="Times New Roman" w:hAnsi="Arial" w:cs="Arial"/>
              </w:rPr>
              <w:t xml:space="preserve"> TTE and Methods 204 and 204A through 204F (as appropriate) of 40 CFR part 51, appendix M. As an alternative to installing a TTE and using Methods 204 and 204A through 204F, you may use the tracer gas method contained in appendix A to this subpart. Enclosures that meet the design criteria (1) through (4) in the definition of wood products enclosure, or that meet Method 204 requirements for a PTE (except for the criteria specified in section 6.2 of Method 204) are assumed to have a capture efficiency of 100 percent. Measured emissions divided by the capture efficiency provides the emission rate.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(11) each process unit subject to a compliance option in tables 1A and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establish the site-specific operating requirements (including the parameter limits or THC concentration limits) in table 2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roofErr w:type="gramStart"/>
            <w:r w:rsidRPr="000F387B">
              <w:rPr>
                <w:rFonts w:ascii="Arial" w:eastAsia="Times New Roman" w:hAnsi="Arial" w:cs="Arial"/>
              </w:rPr>
              <w:t>data</w:t>
            </w:r>
            <w:proofErr w:type="gramEnd"/>
            <w:r w:rsidRPr="000F387B">
              <w:rPr>
                <w:rFonts w:ascii="Arial" w:eastAsia="Times New Roman" w:hAnsi="Arial" w:cs="Arial"/>
              </w:rPr>
              <w:t xml:space="preserve"> from the parameter monitoring system or THC CEMS and the applicable performance test method(s).</w:t>
            </w:r>
          </w:p>
        </w:tc>
      </w:tr>
    </w:tbl>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[71 FR 8373, Feb. 16, 2006]</w:t>
      </w:r>
    </w:p>
    <w:p w:rsidR="000F387B" w:rsidRPr="000F387B" w:rsidRDefault="000F387B" w:rsidP="000F387B">
      <w:pPr>
        <w:spacing w:before="200" w:after="100" w:afterAutospacing="1" w:line="240" w:lineRule="auto"/>
        <w:rPr>
          <w:rFonts w:ascii="Arial" w:eastAsia="Times New Roman" w:hAnsi="Arial" w:cs="Arial"/>
        </w:rPr>
      </w:pPr>
      <w:hyperlink r:id="rId118" w:anchor="_top" w:history="1">
        <w:r w:rsidRPr="000F387B">
          <w:rPr>
            <w:rFonts w:ascii="Arial" w:eastAsia="Times New Roman" w:hAnsi="Arial" w:cs="Arial"/>
            <w:noProof/>
            <w:color w:val="0000FF"/>
          </w:rPr>
          <w:drawing>
            <wp:inline distT="0" distB="0" distL="0" distR="0">
              <wp:extent cx="152400" cy="152400"/>
              <wp:effectExtent l="0" t="0" r="0" b="0"/>
              <wp:docPr id="10" name="Picture 10"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1" w:name="ap40.13.63_12292.6"/>
      <w:bookmarkEnd w:id="41"/>
      <w:r w:rsidRPr="000F387B">
        <w:rPr>
          <w:rFonts w:ascii="Arial" w:eastAsia="Times New Roman" w:hAnsi="Arial" w:cs="Arial"/>
          <w:b/>
          <w:bCs/>
        </w:rPr>
        <w:t xml:space="preserve">Table 5 to Subpart DDDD of Part 63—Performance Testing and Initial Compliance Demonstrations for the Compliance Options and Operating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533"/>
        <w:gridCol w:w="2553"/>
        <w:gridCol w:w="4258"/>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w:t>
            </w:r>
            <w:proofErr w:type="gramStart"/>
            <w:r w:rsidRPr="000F387B">
              <w:rPr>
                <w:rFonts w:ascii="Arial" w:eastAsia="Times New Roman" w:hAnsi="Arial" w:cs="Arial"/>
                <w:b/>
                <w:bCs/>
              </w:rPr>
              <w:t>each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compliance options and operating </w:t>
            </w:r>
            <w:proofErr w:type="gramStart"/>
            <w:r w:rsidRPr="000F387B">
              <w:rPr>
                <w:rFonts w:ascii="Arial" w:eastAsia="Times New Roman" w:hAnsi="Arial" w:cs="Arial"/>
                <w:b/>
                <w:bCs/>
              </w:rPr>
              <w:t>requirements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have demonstrated initial compliance </w:t>
            </w:r>
            <w:proofErr w:type="gramStart"/>
            <w:r w:rsidRPr="000F387B">
              <w:rPr>
                <w:rFonts w:ascii="Arial" w:eastAsia="Times New Roman" w:hAnsi="Arial" w:cs="Arial"/>
                <w:b/>
                <w:bCs/>
              </w:rPr>
              <w:t>if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Process unit listed in Table 1A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Meet the production-based compliance options listed in Table 1A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The average total HAP emissions measured using the methods in Table 4 to this subpart over the 3-hour performance test are no greater than the compliance option in Table 1A to this subpart; AND you have a record of the operating requirement(s) listed in Table 2 to this subpart for the process unit over the performance test during which emissions did not exceed the compliance option value.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Process unit listed in Table 1B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Reduce emissions of total HAP, measured as THC, by 90 percent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Total HAP emissions, measured using the methods in Table 4 to this subpart over the 3-hour performance test, are reduced by at least 90 percent, as calculated using the procedures in §63.2262; AND you have a record of the operating requirement(s) listed in Table 2 to this subpart for the process unit over the performance test during which emissions were reduced by at least 90 percent.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Process unit listed in Table 1B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Limit emissions of total HAP, measured as THC, to 20 </w:t>
            </w:r>
            <w:proofErr w:type="spellStart"/>
            <w:r w:rsidRPr="000F387B">
              <w:rPr>
                <w:rFonts w:ascii="Arial" w:eastAsia="Times New Roman" w:hAnsi="Arial" w:cs="Arial"/>
              </w:rPr>
              <w:t>ppmvd</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The average total HAP emissions, measured using the methods in Table 4 to this subpart over the 3-hour performance test, do not exceed 20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AND you have a record of the operating requirement(s) listed in Table 2 to this subpart for the process unit over the performance test during which emissions did not exceed 20 </w:t>
            </w:r>
            <w:proofErr w:type="spellStart"/>
            <w:r w:rsidRPr="000F387B">
              <w:rPr>
                <w:rFonts w:ascii="Arial" w:eastAsia="Times New Roman" w:hAnsi="Arial" w:cs="Arial"/>
              </w:rPr>
              <w:t>ppmvd</w:t>
            </w:r>
            <w:proofErr w:type="spellEnd"/>
            <w:r w:rsidRPr="000F387B">
              <w:rPr>
                <w:rFonts w:ascii="Arial" w:eastAsia="Times New Roman" w:hAnsi="Arial" w:cs="Arial"/>
              </w:rPr>
              <w: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(4) Process unit listed in Table 1B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Reduce methanol or formaldehyde emissions by 90 percent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The methanol or formaldehyde emissions measured using the methods in Table 4 to this subpart over the 3-hour performance test, are reduced by at least 90 percent, as calculated using the procedures in §63.2262; AND you have a record of the operating requirement(s) listed in Table 2 to this subpart for the process unit over the performance test during which emissions were reduced by at least 90 percent.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Process unit listed in Table 1B to this subpart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Limit methanol or formaldehyde emissions to less than or equal to 1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(if uncontrolled emissions are greater than or equal to 10 </w:t>
            </w:r>
            <w:proofErr w:type="spellStart"/>
            <w:r w:rsidRPr="000F387B">
              <w:rPr>
                <w:rFonts w:ascii="Arial" w:eastAsia="Times New Roman" w:hAnsi="Arial" w:cs="Arial"/>
              </w:rPr>
              <w:t>ppmvd</w:t>
            </w:r>
            <w:proofErr w:type="spellEnd"/>
            <w:r w:rsidRPr="000F387B">
              <w:rPr>
                <w:rFonts w:ascii="Arial" w:eastAsia="Times New Roman" w:hAnsi="Arial" w:cs="Arial"/>
              </w:rPr>
              <w: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The average methanol or formaldehyde emissions, measured using the methods in Table 4 to this subpart over the 3-hour performance test, do not exceed 1 </w:t>
            </w:r>
            <w:proofErr w:type="spellStart"/>
            <w:r w:rsidRPr="000F387B">
              <w:rPr>
                <w:rFonts w:ascii="Arial" w:eastAsia="Times New Roman" w:hAnsi="Arial" w:cs="Arial"/>
              </w:rPr>
              <w:t>ppmvd</w:t>
            </w:r>
            <w:proofErr w:type="spellEnd"/>
            <w:r w:rsidRPr="000F387B">
              <w:rPr>
                <w:rFonts w:ascii="Arial" w:eastAsia="Times New Roman" w:hAnsi="Arial" w:cs="Arial"/>
              </w:rPr>
              <w:t xml:space="preserve">; AND you have a record of the operating requirement(s) listed in Table 2 to this subpart for the process unit over the performance test during which emissions did not exceed 1 </w:t>
            </w:r>
            <w:proofErr w:type="spellStart"/>
            <w:r w:rsidRPr="000F387B">
              <w:rPr>
                <w:rFonts w:ascii="Arial" w:eastAsia="Times New Roman" w:hAnsi="Arial" w:cs="Arial"/>
              </w:rPr>
              <w:t>ppmvd</w:t>
            </w:r>
            <w:proofErr w:type="spellEnd"/>
            <w:r w:rsidRPr="000F387B">
              <w:rPr>
                <w:rFonts w:ascii="Arial" w:eastAsia="Times New Roman" w:hAnsi="Arial" w:cs="Arial"/>
              </w:rPr>
              <w:t>. If the process unit is a reconstituted wood product press or a reconstituted wood product board cooler, your capture device either meets the EPA Method 204 criteria for a PTE or achieves a capture efficiency of greater than or equal to 95 percent.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 Reconstituted wood product press at a new or existing affected source, or reconstituted wood product board cooler at a new affected source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Tables 1A and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submit the results of capture efficiency verification using the methods in Table 4 to this subpart with your Notification of Compliance Status.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(7) Process unit listed in Table 1B to this subpart controlled by routing exhaust to a combustion unit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submit with your Notification of Compliance Status documentation showing that the process exhausts controlled enter into the flame zone of your combustion unit.</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(8) Process unit listed in Table 1B to this subpart using a wet control device as the sole means of reducing HAP emissions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submit with your Notification of Compliance Status your plan to address how organic HAP captured in the wastewater from the wet control device is contained or destroyed to minimize re-release to the atmosphere.</w:t>
            </w:r>
          </w:p>
        </w:tc>
      </w:tr>
    </w:tbl>
    <w:p w:rsidR="000F387B" w:rsidRPr="000F387B" w:rsidRDefault="000F387B" w:rsidP="000F387B">
      <w:pPr>
        <w:spacing w:before="200" w:after="100" w:afterAutospacing="1" w:line="240" w:lineRule="auto"/>
        <w:rPr>
          <w:rFonts w:ascii="Arial" w:eastAsia="Times New Roman" w:hAnsi="Arial" w:cs="Arial"/>
        </w:rPr>
      </w:pPr>
      <w:hyperlink r:id="rId119" w:anchor="_top" w:history="1">
        <w:r w:rsidRPr="000F387B">
          <w:rPr>
            <w:rFonts w:ascii="Arial" w:eastAsia="Times New Roman" w:hAnsi="Arial" w:cs="Arial"/>
            <w:noProof/>
            <w:color w:val="0000FF"/>
          </w:rPr>
          <w:drawing>
            <wp:inline distT="0" distB="0" distL="0" distR="0">
              <wp:extent cx="152400" cy="152400"/>
              <wp:effectExtent l="0" t="0" r="0" b="0"/>
              <wp:docPr id="9" name="Picture 9"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2" w:name="ap40.13.63_12292.7"/>
      <w:bookmarkEnd w:id="42"/>
      <w:r w:rsidRPr="000F387B">
        <w:rPr>
          <w:rFonts w:ascii="Arial" w:eastAsia="Times New Roman" w:hAnsi="Arial" w:cs="Arial"/>
          <w:b/>
          <w:bCs/>
        </w:rPr>
        <w:t xml:space="preserve">Table 6 to Subpart DDDD of Part 63—Initial Compliance Demonstrations for Work Practice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63"/>
        <w:gridCol w:w="3166"/>
        <w:gridCol w:w="4415"/>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w:t>
            </w:r>
            <w:proofErr w:type="gramStart"/>
            <w:r w:rsidRPr="000F387B">
              <w:rPr>
                <w:rFonts w:ascii="Arial" w:eastAsia="Times New Roman" w:hAnsi="Arial" w:cs="Arial"/>
                <w:b/>
                <w:bCs/>
              </w:rPr>
              <w:t>each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work practice </w:t>
            </w:r>
            <w:proofErr w:type="gramStart"/>
            <w:r w:rsidRPr="000F387B">
              <w:rPr>
                <w:rFonts w:ascii="Arial" w:eastAsia="Times New Roman" w:hAnsi="Arial" w:cs="Arial"/>
                <w:b/>
                <w:bCs/>
              </w:rPr>
              <w:t>requirements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have demonstrated initial compliance </w:t>
            </w:r>
            <w:proofErr w:type="gramStart"/>
            <w:r w:rsidRPr="000F387B">
              <w:rPr>
                <w:rFonts w:ascii="Arial" w:eastAsia="Times New Roman" w:hAnsi="Arial" w:cs="Arial"/>
                <w:b/>
                <w:bCs/>
              </w:rPr>
              <w:t>if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Dry rotary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furnish with an inlet moisture content less than or equal to 30 percent (by weight, dry basis) AND operate with an inlet dryer temperature of less than or equal to 600 °F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meet the work practice requirement AND you submit a signed statement with the Notification of Compliance Status that the dryer meets the criteria of a “dry rotary dryer” AND you have a record of the inlet moisture content and inlet dryer temperature (as required in §63.2263).</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Hardwood veneer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less than 30 volume percent softwood species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meet the work practice requirement AND you submit a signed statement with the Notification of Compliance Status that the dryer meets the criteria of a “hardwood veneer dryer” AND you have a record of the percentage of softwoods processed in the dryer (as required in §63.2264).</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Softwood veneer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Minimize fugitive emissions from the dryer doors and the green end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meet the work practice requirement AND you submit with the Notification of Compliance Status a copy of your plan for minimizing fugitive emissions from the veneer dryer heated zones (as required in §63.2265).</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(4) Veneer </w:t>
            </w:r>
            <w:proofErr w:type="spellStart"/>
            <w:r w:rsidRPr="000F387B">
              <w:rPr>
                <w:rFonts w:ascii="Arial" w:eastAsia="Times New Roman" w:hAnsi="Arial" w:cs="Arial"/>
              </w:rPr>
              <w:t>redryers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veneer with an inlet moisture content of less than or equal to 25 percent (by weight, dry basis)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You meet the work practice requirement AND you submit a signed statement with the Notification of Compliance Status that the dryer operates only as a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AND you have a record of the veneer inlet moisture content of the veneer processed in the </w:t>
            </w:r>
            <w:proofErr w:type="spellStart"/>
            <w:r w:rsidRPr="000F387B">
              <w:rPr>
                <w:rFonts w:ascii="Arial" w:eastAsia="Times New Roman" w:hAnsi="Arial" w:cs="Arial"/>
              </w:rPr>
              <w:t>redryer</w:t>
            </w:r>
            <w:proofErr w:type="spellEnd"/>
            <w:r w:rsidRPr="000F387B">
              <w:rPr>
                <w:rFonts w:ascii="Arial" w:eastAsia="Times New Roman" w:hAnsi="Arial" w:cs="Arial"/>
              </w:rPr>
              <w:t xml:space="preserve"> (as required in §63.2266).</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Group 1 miscellaneous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Use non-HAP coatings as defined in §63.2292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meet the work practice requirement AND you submit a signed statement with the Notification of Compliance Status that you are using non-HAP coatings AND you have a record showing that you are using non-HAP coatings.</w:t>
            </w:r>
          </w:p>
        </w:tc>
      </w:tr>
    </w:tbl>
    <w:p w:rsidR="000F387B" w:rsidRPr="000F387B" w:rsidRDefault="000F387B" w:rsidP="000F387B">
      <w:pPr>
        <w:spacing w:before="200" w:after="100" w:afterAutospacing="1" w:line="240" w:lineRule="auto"/>
        <w:rPr>
          <w:rFonts w:ascii="Arial" w:eastAsia="Times New Roman" w:hAnsi="Arial" w:cs="Arial"/>
        </w:rPr>
      </w:pPr>
      <w:hyperlink r:id="rId120" w:anchor="_top" w:history="1">
        <w:r w:rsidRPr="000F387B">
          <w:rPr>
            <w:rFonts w:ascii="Arial" w:eastAsia="Times New Roman" w:hAnsi="Arial" w:cs="Arial"/>
            <w:noProof/>
            <w:color w:val="0000FF"/>
          </w:rPr>
          <w:drawing>
            <wp:inline distT="0" distB="0" distL="0" distR="0">
              <wp:extent cx="152400" cy="152400"/>
              <wp:effectExtent l="0" t="0" r="0" b="0"/>
              <wp:docPr id="8" name="Picture 8"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3" w:name="ap40.13.63_12292.8"/>
      <w:bookmarkEnd w:id="43"/>
      <w:r w:rsidRPr="000F387B">
        <w:rPr>
          <w:rFonts w:ascii="Arial" w:eastAsia="Times New Roman" w:hAnsi="Arial" w:cs="Arial"/>
          <w:b/>
          <w:bCs/>
        </w:rPr>
        <w:t xml:space="preserve">Table 7 to Subpart DDDD of Part 63—Continuous Compliance </w:t>
      </w:r>
      <w:proofErr w:type="gramStart"/>
      <w:r w:rsidRPr="000F387B">
        <w:rPr>
          <w:rFonts w:ascii="Arial" w:eastAsia="Times New Roman" w:hAnsi="Arial" w:cs="Arial"/>
          <w:b/>
          <w:bCs/>
        </w:rPr>
        <w:t>With</w:t>
      </w:r>
      <w:proofErr w:type="gramEnd"/>
      <w:r w:rsidRPr="000F387B">
        <w:rPr>
          <w:rFonts w:ascii="Arial" w:eastAsia="Times New Roman" w:hAnsi="Arial" w:cs="Arial"/>
          <w:b/>
          <w:bCs/>
        </w:rPr>
        <w:t xml:space="preserve"> the Compliance Options and Operating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421"/>
        <w:gridCol w:w="3116"/>
        <w:gridCol w:w="3807"/>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proofErr w:type="gramStart"/>
            <w:r w:rsidRPr="000F387B">
              <w:rPr>
                <w:rFonts w:ascii="Arial" w:eastAsia="Times New Roman" w:hAnsi="Arial" w:cs="Arial"/>
                <w:b/>
                <w:bCs/>
              </w:rPr>
              <w:t>For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compliance options and operating </w:t>
            </w:r>
            <w:proofErr w:type="gramStart"/>
            <w:r w:rsidRPr="000F387B">
              <w:rPr>
                <w:rFonts w:ascii="Arial" w:eastAsia="Times New Roman" w:hAnsi="Arial" w:cs="Arial"/>
                <w:b/>
                <w:bCs/>
              </w:rPr>
              <w:t>requirements .</w:t>
            </w:r>
            <w:proofErr w:type="gramEnd"/>
            <w:r w:rsidRPr="000F387B">
              <w:rPr>
                <w:rFonts w:ascii="Arial" w:eastAsia="Times New Roman" w:hAnsi="Arial" w:cs="Arial"/>
                <w:b/>
                <w:bCs/>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demonstrate continuous compliance </w:t>
            </w:r>
            <w:proofErr w:type="gramStart"/>
            <w:r w:rsidRPr="000F387B">
              <w:rPr>
                <w:rFonts w:ascii="Arial" w:eastAsia="Times New Roman" w:hAnsi="Arial" w:cs="Arial"/>
                <w:b/>
                <w:bCs/>
              </w:rPr>
              <w:t>by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Each process unit listed in Table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1B to this subpart or the emissions averaging compliance option in §63.2240(c) and the operating requirements in Table 2 to this subpart based on monitoring of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Collecting and recording the operating parameter monitoring system data listed in Table 2 to this subpart for the process unit according to §63.2269(a) through (b) and §63.2270; AND reducing the operating parameter monitoring system data to the specified averages in units of the applicable requirement according to calculations in §63.2270; AND maintaining the average operating parameter at or above the minimum, at or below the maximum, or within the range (whichever applies) established according to §63.2262.</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Each process unit listed in Tables 1A and 1B to this subpart or used in calculation of an emissions average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Tables 1A and 1B to this subpart or the emissions averaging compliance option in §63.2240(c) and the operating requirements in Table 2 of this subpart based on THC CEMS data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Collecting and recording the THC monitoring data listed in Table 2 to this subpart for the process unit according to §63.2269(d); AND reducing the CEMS data to 3-hour block averages according to calculations in §63.2269(d); AND maintaining the 3-hour block average THC concentration in the exhaust gases less than or equal to the THC concentration established according to §63.2262.</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(3) Each process unit using a </w:t>
            </w:r>
            <w:proofErr w:type="spellStart"/>
            <w:r w:rsidRPr="000F387B">
              <w:rPr>
                <w:rFonts w:ascii="Arial" w:eastAsia="Times New Roman" w:hAnsi="Arial" w:cs="Arial"/>
              </w:rPr>
              <w:t>biofilter</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Tables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Conducting a repeat performance test using the applicable method(s) specified in Table 4 to this subpart within 2 years following the previous performance test and within 180 days after each replacement of any portion of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media with a different type of media or each replacement of more than 50 percent (by volume) of the </w:t>
            </w:r>
            <w:proofErr w:type="spellStart"/>
            <w:r w:rsidRPr="000F387B">
              <w:rPr>
                <w:rFonts w:ascii="Arial" w:eastAsia="Times New Roman" w:hAnsi="Arial" w:cs="Arial"/>
              </w:rPr>
              <w:t>biofilter</w:t>
            </w:r>
            <w:proofErr w:type="spellEnd"/>
            <w:r w:rsidRPr="000F387B">
              <w:rPr>
                <w:rFonts w:ascii="Arial" w:eastAsia="Times New Roman" w:hAnsi="Arial" w:cs="Arial"/>
              </w:rPr>
              <w:t xml:space="preserve"> bed media with the same type of media.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(4) Each process unit using a catalytic oxidizer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Checking the activity level of a representative sample of the catalyst at least every 12 months and taking any necessary corrective action to ensure that the catalyst is performing within its design range.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Each process unit listed in Table 1A to this subpart, or each process unit without a control device used in calculation of an emissions averaging debit under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1A to this subpart or the emissions averaging compliance option in §63.2240(c) and the operating requirements in Table 2 to this subpart based on monitoring of process unit controlling operating parameters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Collecting and recording on a daily basis process unit controlling operating parameter data; AND maintaining the operating parameter at or above the minimum, at or below the maximum, or within the range (whichever applies) established according to §63.2262.</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 Each Process unit listed in Table 1B to this subpart using a wet control device as the sole means of reducing HAP emissions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options in Table 1B to this subpart or the emissions averaging compliance option in §63.2240(c)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Implementing your plan to address how organic HAP captured in the wastewater from the wet control device is contained or destroyed to minimize re-release to the atmosphere.</w:t>
            </w:r>
          </w:p>
        </w:tc>
      </w:tr>
    </w:tbl>
    <w:p w:rsidR="000F387B" w:rsidRPr="000F387B" w:rsidRDefault="000F387B" w:rsidP="000F387B">
      <w:pPr>
        <w:spacing w:before="200" w:after="100" w:afterAutospacing="1" w:line="240" w:lineRule="auto"/>
        <w:rPr>
          <w:rFonts w:ascii="Arial" w:eastAsia="Times New Roman" w:hAnsi="Arial" w:cs="Arial"/>
        </w:rPr>
      </w:pPr>
      <w:hyperlink r:id="rId121" w:anchor="_top" w:history="1">
        <w:r w:rsidRPr="000F387B">
          <w:rPr>
            <w:rFonts w:ascii="Arial" w:eastAsia="Times New Roman" w:hAnsi="Arial" w:cs="Arial"/>
            <w:noProof/>
            <w:color w:val="0000FF"/>
          </w:rPr>
          <w:drawing>
            <wp:inline distT="0" distB="0" distL="0" distR="0">
              <wp:extent cx="152400" cy="152400"/>
              <wp:effectExtent l="0" t="0" r="0" b="0"/>
              <wp:docPr id="7" name="Picture 7"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4" w:name="ap40.13.63_12292.9"/>
      <w:bookmarkEnd w:id="44"/>
      <w:r w:rsidRPr="000F387B">
        <w:rPr>
          <w:rFonts w:ascii="Arial" w:eastAsia="Times New Roman" w:hAnsi="Arial" w:cs="Arial"/>
          <w:b/>
          <w:bCs/>
        </w:rPr>
        <w:t xml:space="preserve">Table 8 to Subpart DDDD of Part 63—Continuous Compliance </w:t>
      </w:r>
      <w:proofErr w:type="gramStart"/>
      <w:r w:rsidRPr="000F387B">
        <w:rPr>
          <w:rFonts w:ascii="Arial" w:eastAsia="Times New Roman" w:hAnsi="Arial" w:cs="Arial"/>
          <w:b/>
          <w:bCs/>
        </w:rPr>
        <w:t>With</w:t>
      </w:r>
      <w:proofErr w:type="gramEnd"/>
      <w:r w:rsidRPr="000F387B">
        <w:rPr>
          <w:rFonts w:ascii="Arial" w:eastAsia="Times New Roman" w:hAnsi="Arial" w:cs="Arial"/>
          <w:b/>
          <w:bCs/>
        </w:rPr>
        <w:t xml:space="preserve"> the Work Practice Requirements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45"/>
        <w:gridCol w:w="3068"/>
        <w:gridCol w:w="4531"/>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proofErr w:type="gramStart"/>
            <w:r w:rsidRPr="000F387B">
              <w:rPr>
                <w:rFonts w:ascii="Arial" w:eastAsia="Times New Roman" w:hAnsi="Arial" w:cs="Arial"/>
                <w:b/>
                <w:bCs/>
              </w:rPr>
              <w:t>For .</w:t>
            </w:r>
            <w:proofErr w:type="gramEnd"/>
            <w:r w:rsidRPr="000F387B">
              <w:rPr>
                <w:rFonts w:ascii="Arial" w:eastAsia="Times New Roman" w:hAnsi="Arial" w:cs="Arial"/>
                <w:b/>
                <w:bCs/>
              </w:rPr>
              <w:t xml:space="preserv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For the following work practice </w:t>
            </w:r>
            <w:proofErr w:type="gramStart"/>
            <w:r w:rsidRPr="000F387B">
              <w:rPr>
                <w:rFonts w:ascii="Arial" w:eastAsia="Times New Roman" w:hAnsi="Arial" w:cs="Arial"/>
                <w:b/>
                <w:bCs/>
              </w:rPr>
              <w:t>requirements .</w:t>
            </w:r>
            <w:proofErr w:type="gramEnd"/>
            <w:r w:rsidRPr="000F387B">
              <w:rPr>
                <w:rFonts w:ascii="Arial" w:eastAsia="Times New Roman" w:hAnsi="Arial" w:cs="Arial"/>
                <w:b/>
                <w:bCs/>
              </w:rPr>
              <w:t xml:space="preserv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demonstrate continuous compliance </w:t>
            </w:r>
            <w:proofErr w:type="gramStart"/>
            <w:r w:rsidRPr="000F387B">
              <w:rPr>
                <w:rFonts w:ascii="Arial" w:eastAsia="Times New Roman" w:hAnsi="Arial" w:cs="Arial"/>
                <w:b/>
                <w:bCs/>
              </w:rPr>
              <w:t>by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Dry rotary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furnish with an inlet moisture content less than or equal to 30 percent (by weight, dry basis) AND operate with an inlet dryer temperature of less than or equal to 600 °F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Maintaining the 24-hour block average inlet furnish moisture content at less than or equal to 30 percent (by weight, dry basis) AND maintaining the 24-hour block average inlet dryer temperature at less than or equal to 600 °F; AND keeping records of the inlet temperature of furnish moisture content and inlet dryer temperature.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Hardwood veneer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less than 30 volume percent softwood species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Maintaining the volume percent softwood species processed below 30 percent AND keeping records of the volume percent softwood species processed.</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(3) Softwood veneer dryer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Minimize fugitive emissions from the dryer doors and the green end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Following (and documenting that you are following) your plan for minimizing fugitive emissions.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xml:space="preserve">(4) Veneer </w:t>
            </w:r>
            <w:proofErr w:type="spellStart"/>
            <w:r w:rsidRPr="000F387B">
              <w:rPr>
                <w:rFonts w:ascii="Arial" w:eastAsia="Times New Roman" w:hAnsi="Arial" w:cs="Arial"/>
              </w:rPr>
              <w:t>redryers</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Process veneer with an inlet moisture content of less than or equal to 25 percent (by weight, dry basis)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Maintaining the 24-hour block average inlet moisture content of the veneer processed at or below of less than or 25 percent AND keeping records of the inlet moisture content of the veneer processed.</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(5) Group 1 miscellaneous coating operations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Use non-HAP coatings as defined in §63.2292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Continuing to use non-HAP coatings AND keeping records showing that you are using non-HAP coatings.</w:t>
            </w:r>
          </w:p>
        </w:tc>
      </w:tr>
    </w:tbl>
    <w:p w:rsidR="000F387B" w:rsidRPr="000F387B" w:rsidRDefault="000F387B" w:rsidP="000F387B">
      <w:pPr>
        <w:spacing w:before="200" w:after="100" w:afterAutospacing="1" w:line="240" w:lineRule="auto"/>
        <w:rPr>
          <w:rFonts w:ascii="Arial" w:eastAsia="Times New Roman" w:hAnsi="Arial" w:cs="Arial"/>
        </w:rPr>
      </w:pPr>
      <w:hyperlink r:id="rId122" w:anchor="_top" w:history="1">
        <w:r w:rsidRPr="000F387B">
          <w:rPr>
            <w:rFonts w:ascii="Arial" w:eastAsia="Times New Roman" w:hAnsi="Arial" w:cs="Arial"/>
            <w:noProof/>
            <w:color w:val="0000FF"/>
          </w:rPr>
          <w:drawing>
            <wp:inline distT="0" distB="0" distL="0" distR="0">
              <wp:extent cx="152400" cy="152400"/>
              <wp:effectExtent l="0" t="0" r="0" b="0"/>
              <wp:docPr id="6" name="Picture 6"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line="240" w:lineRule="auto"/>
        <w:outlineLvl w:val="1"/>
        <w:rPr>
          <w:rFonts w:ascii="Arial" w:eastAsia="Times New Roman" w:hAnsi="Arial" w:cs="Arial"/>
          <w:b/>
          <w:bCs/>
        </w:rPr>
      </w:pPr>
      <w:bookmarkStart w:id="45" w:name="ap40.13.63_12292.10"/>
      <w:bookmarkEnd w:id="45"/>
      <w:r w:rsidRPr="000F387B">
        <w:rPr>
          <w:rFonts w:ascii="Arial" w:eastAsia="Times New Roman" w:hAnsi="Arial" w:cs="Arial"/>
          <w:b/>
          <w:bCs/>
        </w:rPr>
        <w:t xml:space="preserve">Table 9 to Subpart DDDD of Part 63—Requirements for Reports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3900"/>
        <w:gridCol w:w="1965"/>
        <w:gridCol w:w="3479"/>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submit </w:t>
            </w:r>
            <w:proofErr w:type="gramStart"/>
            <w:r w:rsidRPr="000F387B">
              <w:rPr>
                <w:rFonts w:ascii="Arial" w:eastAsia="Times New Roman" w:hAnsi="Arial" w:cs="Arial"/>
                <w:b/>
                <w:bCs/>
              </w:rPr>
              <w:t>a(</w:t>
            </w:r>
            <w:proofErr w:type="gramEnd"/>
            <w:r w:rsidRPr="000F387B">
              <w:rPr>
                <w:rFonts w:ascii="Arial" w:eastAsia="Times New Roman" w:hAnsi="Arial" w:cs="Arial"/>
                <w:b/>
                <w:bCs/>
              </w:rPr>
              <w:t xml:space="preserve">n) .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The report must </w:t>
            </w:r>
            <w:proofErr w:type="gramStart"/>
            <w:r w:rsidRPr="000F387B">
              <w:rPr>
                <w:rFonts w:ascii="Arial" w:eastAsia="Times New Roman" w:hAnsi="Arial" w:cs="Arial"/>
                <w:b/>
                <w:bCs/>
              </w:rPr>
              <w:t>contain .</w:t>
            </w:r>
            <w:proofErr w:type="gramEnd"/>
            <w:r w:rsidRPr="000F387B">
              <w:rPr>
                <w:rFonts w:ascii="Arial" w:eastAsia="Times New Roman" w:hAnsi="Arial" w:cs="Arial"/>
                <w:b/>
                <w:bCs/>
              </w:rPr>
              <w:t xml:space="preserve">  .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You must submit the </w:t>
            </w:r>
            <w:proofErr w:type="gramStart"/>
            <w:r w:rsidRPr="000F387B">
              <w:rPr>
                <w:rFonts w:ascii="Arial" w:eastAsia="Times New Roman" w:hAnsi="Arial" w:cs="Arial"/>
                <w:b/>
                <w:bCs/>
              </w:rPr>
              <w:t>report .</w:t>
            </w:r>
            <w:proofErr w:type="gramEnd"/>
            <w:r w:rsidRPr="000F387B">
              <w:rPr>
                <w:rFonts w:ascii="Arial" w:eastAsia="Times New Roman" w:hAnsi="Arial" w:cs="Arial"/>
                <w:b/>
                <w:bCs/>
              </w:rPr>
              <w:t>  .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(1) 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The information in §63.2281(c) through (g)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Semiannually according to the requirements in §63.2281(b).</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(2) immediate startup, shutdown, and malfunction report if you had a startup, shutdown, or malfunction during the reporting period that is not consistent with your SSMP</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w:t>
            </w:r>
            <w:proofErr w:type="spellStart"/>
            <w:r w:rsidRPr="000F387B">
              <w:rPr>
                <w:rFonts w:ascii="Arial" w:eastAsia="Times New Roman" w:hAnsi="Arial" w:cs="Arial"/>
              </w:rPr>
              <w:t>i</w:t>
            </w:r>
            <w:proofErr w:type="spellEnd"/>
            <w:r w:rsidRPr="000F387B">
              <w:rPr>
                <w:rFonts w:ascii="Arial" w:eastAsia="Times New Roman" w:hAnsi="Arial" w:cs="Arial"/>
              </w:rPr>
              <w:t>) Actions taken for the event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By fax or telephone within 2 working days after starting actions inconsistent with the plan.</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(ii) The information in §63.10(d)(5)(ii)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By letter within 7 working days after the end of the event unless you have made alternative arrangements with the permitting authority.</w:t>
            </w:r>
          </w:p>
        </w:tc>
      </w:tr>
    </w:tbl>
    <w:p w:rsidR="000F387B" w:rsidRPr="000F387B" w:rsidRDefault="000F387B" w:rsidP="000F387B">
      <w:pPr>
        <w:spacing w:before="200" w:after="100" w:afterAutospacing="1" w:line="240" w:lineRule="auto"/>
        <w:rPr>
          <w:rFonts w:ascii="Arial" w:eastAsia="Times New Roman" w:hAnsi="Arial" w:cs="Arial"/>
        </w:rPr>
      </w:pPr>
      <w:hyperlink r:id="rId123" w:anchor="_top" w:history="1">
        <w:r w:rsidRPr="000F387B">
          <w:rPr>
            <w:rFonts w:ascii="Arial" w:eastAsia="Times New Roman" w:hAnsi="Arial" w:cs="Arial"/>
            <w:noProof/>
            <w:color w:val="0000FF"/>
          </w:rPr>
          <w:drawing>
            <wp:inline distT="0" distB="0" distL="0" distR="0">
              <wp:extent cx="152400" cy="152400"/>
              <wp:effectExtent l="0" t="0" r="0" b="0"/>
              <wp:docPr id="5" name="Picture 5"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EF1321" w:rsidRDefault="00EF1321">
      <w:pPr>
        <w:rPr>
          <w:rFonts w:ascii="Arial" w:eastAsia="Times New Roman" w:hAnsi="Arial" w:cs="Arial"/>
          <w:b/>
          <w:bCs/>
        </w:rPr>
      </w:pPr>
      <w:bookmarkStart w:id="46" w:name="ap40.13.63_12292.11"/>
      <w:bookmarkEnd w:id="46"/>
      <w:r>
        <w:rPr>
          <w:rFonts w:ascii="Arial" w:eastAsia="Times New Roman" w:hAnsi="Arial" w:cs="Arial"/>
          <w:b/>
          <w:bCs/>
        </w:rPr>
        <w:br w:type="page"/>
      </w:r>
    </w:p>
    <w:p w:rsidR="000F387B" w:rsidRPr="000F387B" w:rsidRDefault="000F387B" w:rsidP="000F387B">
      <w:pPr>
        <w:spacing w:before="200" w:line="240" w:lineRule="auto"/>
        <w:outlineLvl w:val="1"/>
        <w:rPr>
          <w:rFonts w:ascii="Arial" w:eastAsia="Times New Roman" w:hAnsi="Arial" w:cs="Arial"/>
          <w:b/>
          <w:bCs/>
        </w:rPr>
      </w:pPr>
      <w:bookmarkStart w:id="47" w:name="_GoBack"/>
      <w:bookmarkEnd w:id="47"/>
      <w:r w:rsidRPr="000F387B">
        <w:rPr>
          <w:rFonts w:ascii="Arial" w:eastAsia="Times New Roman" w:hAnsi="Arial" w:cs="Arial"/>
          <w:b/>
          <w:bCs/>
        </w:rPr>
        <w:t xml:space="preserve">Table 10 to Subpart DDDD of Part 63—Applicability of General Provisions to Subpart DDDD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722"/>
        <w:gridCol w:w="3060"/>
        <w:gridCol w:w="3688"/>
        <w:gridCol w:w="874"/>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Citation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Subject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Brief description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Applies to</w:t>
            </w:r>
            <w:r w:rsidRPr="000F387B">
              <w:rPr>
                <w:rFonts w:ascii="Arial" w:eastAsia="Times New Roman" w:hAnsi="Arial" w:cs="Arial"/>
                <w:b/>
                <w:bCs/>
              </w:rPr>
              <w:br/>
              <w:t>subpart DDDD</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Initial applicability determination; applicability after standard established; permit requirements; extensions,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Definitions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Units and abbreviations for part 63 standards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Prohibited activities; compliance date; circumvention, fragmentation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 applications; approvals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GP apply unless compliance extension; GP apply to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§63.6(b)(1)-(4)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Standards apply at effective date; 3 years after effective date; upon startup; 10 years after construction or reconstruction commences for section 112(f)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§63.6(b)(5)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notify if commenced construction or reconstruction after proposal</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§63.6(b)(6)</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§63.6(b)(7)</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Dates for New and Reconstructed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Area sources that become major must comply with major source standards immediately upon becoming major, regardless of whether required to comply when they were an area source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§63.6(c)(1)-(2)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Comply according to date in subpart, which must be no later than 3 years after effective date; for section 112(f) standards, comply within 90 days of effective date unless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§63.6(c)(3)-(4)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§63.6(c)(5)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Dates for Existing Area Sources that Become Major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Area sources that become major must comply with major source standards by date indicated in subpart or by equivalent time period (</w:t>
            </w:r>
            <w:r w:rsidRPr="000F387B">
              <w:rPr>
                <w:rFonts w:ascii="Arial" w:eastAsia="Times New Roman" w:hAnsi="Arial" w:cs="Arial"/>
                <w:i/>
                <w:iCs/>
              </w:rPr>
              <w:t>e.g.,</w:t>
            </w:r>
            <w:r w:rsidRPr="000F387B">
              <w:rPr>
                <w:rFonts w:ascii="Arial" w:eastAsia="Times New Roman" w:hAnsi="Arial" w:cs="Arial"/>
              </w:rPr>
              <w:t xml:space="preserve"> 3 years)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§63.6(e)(1)-(2)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Operation &amp; Maintenance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Operate to minimize emissions at all times; correct malfunctions as soon as practicable; operation and maintenance requirements independently enforceable; information Administrator will use to determine if operation and maintenance requirements were met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§63.6(e)(3)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Startup, Shutdown, and Malfunction Plan (SSMP)</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 for SSM and SSMP; content of SSMP</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§63.6(f)(1)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You must comply with emission standards at all times except during SSM</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§63.6(f)(2)-(3)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based on performance test, operation and maintenance plans, records, inspection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§63.6(g)(1)-(3)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getting an 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§63.6(h)(1)-(9)</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Opacity/Visible Emission (VE) Standards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Requirements for 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w:t>
            </w:r>
            <w:proofErr w:type="spellStart"/>
            <w:r w:rsidRPr="000F387B">
              <w:rPr>
                <w:rFonts w:ascii="Arial" w:eastAsia="Times New Roman" w:hAnsi="Arial" w:cs="Arial"/>
              </w:rPr>
              <w:t>i</w:t>
            </w:r>
            <w:proofErr w:type="spellEnd"/>
            <w:r w:rsidRPr="000F387B">
              <w:rPr>
                <w:rFonts w:ascii="Arial" w:eastAsia="Times New Roman" w:hAnsi="Arial" w:cs="Arial"/>
              </w:rPr>
              <w:t>)(1)-(14)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and criteria for Administrator to grant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w:t>
            </w:r>
            <w:proofErr w:type="spellStart"/>
            <w:r w:rsidRPr="000F387B">
              <w:rPr>
                <w:rFonts w:ascii="Arial" w:eastAsia="Times New Roman" w:hAnsi="Arial" w:cs="Arial"/>
              </w:rPr>
              <w:t>i</w:t>
            </w:r>
            <w:proofErr w:type="spellEnd"/>
            <w:r w:rsidRPr="000F387B">
              <w:rPr>
                <w:rFonts w:ascii="Arial" w:eastAsia="Times New Roman" w:hAnsi="Arial" w:cs="Arial"/>
              </w:rPr>
              <w:t>)(15)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w:t>
            </w:r>
            <w:proofErr w:type="spellStart"/>
            <w:r w:rsidRPr="000F387B">
              <w:rPr>
                <w:rFonts w:ascii="Arial" w:eastAsia="Times New Roman" w:hAnsi="Arial" w:cs="Arial"/>
              </w:rPr>
              <w:t>i</w:t>
            </w:r>
            <w:proofErr w:type="spellEnd"/>
            <w:r w:rsidRPr="000F387B">
              <w:rPr>
                <w:rFonts w:ascii="Arial" w:eastAsia="Times New Roman" w:hAnsi="Arial" w:cs="Arial"/>
              </w:rPr>
              <w:t>)(16)</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Compliance extension and Administrator's authority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§63.6(j)</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President may exempt source category from requirement to comply with rule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§63.7(a)(1)-(2)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Dates for conducting initial performance testing and other compliance demonstrations; must conduct 180 days after first subject to rule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§63.7(a)(3)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Administrator may require a performance test under CAA section 114 at any time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§63.7(b)(1)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notify Administrator 60 days before the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§63.7(b)(2)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If have to reschedule performance test, must notify Administrator as soon as practicable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 to submit site-specific test plan 60 days before the test or on date Administrator agrees with; test plan approval procedures; performance audit requirements; internal and external QA procedures for testing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Requirements for 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§63.7(e)(1)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Performance tests must be conducted under representative conditions; cannot conduct performance tests during SSM; not a violation to exceed standard during SSM</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§63.7(e)(2)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conduct according to rule and EPA test methods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§63.7(e)(3)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have three test runs for at least the time specified in the relevant standard; compliance is based on arithmetic mean of three runs; specifies conditions when data from an additional test run can be used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by which Administrator can grant approval to use an 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Performance Test Data Analysis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include raw data in performance test report; must submit performance test data 60 days after end of test with the notification of compliance status; keep data for 5 years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§63.7(h)</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Administrator to waive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§63.8(a)(1)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Subject to all monitoring requirements in standard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§63.8(a)(2)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Performance specifications in appendix B of part 60 apply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§63.8(a)(3)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§63.8(a)(4)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Monitoring with Flares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Requirements for flares in §63.11 apply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§63.8(b)(1)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conduct monitoring according to standard unless Administrator approves alternative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§63.8(b)(2)-(3)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Specific requirements for installing monitoring systems; must install on each effluent before it is combined and before it is released to the atmosphere unless Administrator approves otherwise; if more than one monitoring system on an emission point, must report all monitoring system results, unless one monitoring system is a backup</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Maintain monitoring system in a manner consistent with and good air pollution control practices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§63.8(c)(1)(</w:t>
            </w:r>
            <w:proofErr w:type="spellStart"/>
            <w:r w:rsidRPr="000F387B">
              <w:rPr>
                <w:rFonts w:ascii="Arial" w:eastAsia="Times New Roman" w:hAnsi="Arial" w:cs="Arial"/>
              </w:rPr>
              <w:t>i</w:t>
            </w:r>
            <w:proofErr w:type="spellEnd"/>
            <w:r w:rsidRPr="000F387B">
              <w:rPr>
                <w:rFonts w:ascii="Arial" w:eastAsia="Times New Roman" w:hAnsi="Arial" w:cs="Arial"/>
              </w:rPr>
              <w: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Operation and Maintenance of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maintain and operate CMS in accordance with §63.6(e)(1)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§63.8(c)(1)(ii)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Spare Parts for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maintain spare parts for routine CMS repairs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§63.8(c)(1)(iii)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SSMP for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develop and implement SSMP for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§63.8(c)(2)-(3)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install to get representative emission of parameter measurements; must verify operational status before or at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CMS must be operating except during breakdown, out-of-control, repair, maintenance, and high-level calibration drifts; COMS must have a minimum of one cycle of sampling and analysis for each successive 10-second period and one cycle of data recording for each successive 6-minute period; CEMS must have a minimum of one cycle of operation for each successive 15-minute period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Continuous Opacity Monitoring System (COMS)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§63.8(c)(6)-(8)</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Zero and high-level calibration check requirements; out-of-control periods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Requirements for CMS quality control, including calibration, etc.; must keep quality control plan on record for 5 years. Keep old versions for 5 years after revisions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performance evaluation test plan, 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§63.8(f)(1)-(5)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Administrator to approve alternative monitoring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§63.8(f)(6)</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Administrator to approve alternative relative accuracy tests for CEMS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§63.8(g)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COMS 6-minute averages calculated over at least 36 evenly spaced data points; CEMS 1 hour averages computed over at least 4 equally spaced data points; data that can't be used in average; rounding of data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 and State delegation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§63.9(b)(1)-(2)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Submit notification 120 days after effective date; contents of notification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§63.9(b)(3)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§63.9(b)(4)-(5)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Submit notification 120 days after effective date; notification of intent to construct/reconstruct; notification of commencement of construct/reconstruct; notification of startup; contents of each</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§63.9(c)</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Can request if cannot comply by date or if installed best available control technology/lowest achievable emission rate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Special Compliance Requirements for New Source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For sources that commence construction between proposal and promulgation and want to comply 3 years after effective date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Notify EPA Administrator 60 days prior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Visible Emissions/Opacity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Notify EPA Administrator 30 days prior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Additional Notifications When Using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performance evaluation; notification using COMS data; notification that exceeded criterion for relative accuracy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§63.9(h)(1)-(6)</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Contents; due 60 days after end of performance test or other compliance demonstration, except for opacity/VE, which are due 30 days after; when to submit to Federal vs.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w:t>
            </w:r>
            <w:proofErr w:type="spellStart"/>
            <w:r w:rsidRPr="000F387B">
              <w:rPr>
                <w:rFonts w:ascii="Arial" w:eastAsia="Times New Roman" w:hAnsi="Arial" w:cs="Arial"/>
              </w:rPr>
              <w:t>i</w:t>
            </w:r>
            <w:proofErr w:type="spellEnd"/>
            <w:r w:rsidRPr="000F387B">
              <w:rPr>
                <w:rFonts w:ascii="Arial" w:eastAsia="Times New Roman" w:hAnsi="Arial" w:cs="Arial"/>
              </w:rPr>
              <w: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Administrator to approve change in when notifications must be submitted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§63.9(j)</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submit within 15 days after the change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Applies to all, unless compliance extension; when to submit to Federal vs. State authority; procedures for owners of more than one source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General Requirements; keep all records readily available; keep for 5 years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w:t>
            </w:r>
            <w:proofErr w:type="spellStart"/>
            <w:r w:rsidRPr="000F387B">
              <w:rPr>
                <w:rFonts w:ascii="Arial" w:eastAsia="Times New Roman" w:hAnsi="Arial" w:cs="Arial"/>
              </w:rPr>
              <w:t>i</w:t>
            </w:r>
            <w:proofErr w:type="spellEnd"/>
            <w:r w:rsidRPr="000F387B">
              <w:rPr>
                <w:rFonts w:ascii="Arial" w:eastAsia="Times New Roman" w:hAnsi="Arial" w:cs="Arial"/>
              </w:rPr>
              <w:t>)-(iv)</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 Related to Startup, Shutdown, and Malfunction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Occurrence of each of operation (process equipment); occurrence of each malfunction of air pollution equipment; maintenance on air pollution control equipment; actions during startup, shutdown, and malfunction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§63.10(b)(2)(vi) and (x)-(xi)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CMS 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Malfunctions, inoperative, out-of-control</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§63.10(b)(2)(vii)-(ix)</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Measurements to demonstrate compliance with compliance options and operating requirements; performance test, performance evaluation, and visible emission observation results; measurements to determine conditions of performance tests and performance evaluations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§63.10(b)(2)(xii)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§63.10(b)(2)(xiii)</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 when using 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§63.10(b)(2)(xiv)</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All documentation supporting initial notification and 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§63.10(b)(3)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Applicability determinations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§63.10(c)(1)-(6), (9)-(15)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Additional records for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§63.10(c)(7)-(8)</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Records of excess emissions and parameter monitoring exceedances for CMS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§63.10(d)(1)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 to report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§63.10(d)(2)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When to submit to Federal or State authority</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§63.10(d)(3)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What to report and when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§63.10(d)(4)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submit progress reports on schedule if under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§63.10(d)(5)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Contents and submission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§63.10(e)(1)-(2)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report results for each CEM on a unit; written copy of performance evaluation; 3 copies of COMS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§63.10(e)(3)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Excess emission reports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No.</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§63.10(e)(4)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Must submit COMS data with performance test data</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§63.10(f)</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Procedures for EPA Administrator to waive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§63.11</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Flares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Requirements for flares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NA.</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§63.12</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Delegation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State authority to enforce standards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§63.13</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Addresses where reports, notifications, and requests are send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Test methods incorporated by reference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§63.15</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Public and confidential information</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Yes.</w:t>
            </w:r>
          </w:p>
        </w:tc>
      </w:tr>
    </w:tbl>
    <w:p w:rsidR="000F387B" w:rsidRPr="000F387B" w:rsidRDefault="000F387B" w:rsidP="000F387B">
      <w:pPr>
        <w:spacing w:before="200" w:after="100" w:afterAutospacing="1" w:line="240" w:lineRule="auto"/>
        <w:rPr>
          <w:rFonts w:ascii="Arial" w:eastAsia="Times New Roman" w:hAnsi="Arial" w:cs="Arial"/>
        </w:rPr>
      </w:pPr>
      <w:hyperlink r:id="rId124" w:anchor="_top" w:history="1">
        <w:r w:rsidRPr="000F387B">
          <w:rPr>
            <w:rFonts w:ascii="Arial" w:eastAsia="Times New Roman" w:hAnsi="Arial" w:cs="Arial"/>
            <w:noProof/>
            <w:color w:val="0000FF"/>
          </w:rPr>
          <w:drawing>
            <wp:inline distT="0" distB="0" distL="0" distR="0">
              <wp:extent cx="152400" cy="152400"/>
              <wp:effectExtent l="0" t="0" r="0" b="0"/>
              <wp:docPr id="4" name="Picture 4"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p w:rsidR="000F387B" w:rsidRPr="000F387B" w:rsidRDefault="000F387B" w:rsidP="000F387B">
      <w:pPr>
        <w:spacing w:before="200" w:after="100" w:line="240" w:lineRule="auto"/>
        <w:outlineLvl w:val="1"/>
        <w:rPr>
          <w:rFonts w:ascii="Arial" w:eastAsia="Times New Roman" w:hAnsi="Arial" w:cs="Arial"/>
          <w:b/>
          <w:bCs/>
        </w:rPr>
      </w:pPr>
      <w:bookmarkStart w:id="48" w:name="ap40.13.63_12292.a"/>
      <w:bookmarkEnd w:id="48"/>
      <w:r w:rsidRPr="000F387B">
        <w:rPr>
          <w:rFonts w:ascii="Arial" w:eastAsia="Times New Roman" w:hAnsi="Arial" w:cs="Arial"/>
          <w:b/>
          <w:bCs/>
        </w:rPr>
        <w:t xml:space="preserve">Appendix A to Subpart DDDD of Part 63—Alternative Procedure </w:t>
      </w:r>
      <w:proofErr w:type="gramStart"/>
      <w:r w:rsidRPr="000F387B">
        <w:rPr>
          <w:rFonts w:ascii="Arial" w:eastAsia="Times New Roman" w:hAnsi="Arial" w:cs="Arial"/>
          <w:b/>
          <w:bCs/>
        </w:rPr>
        <w:t>To</w:t>
      </w:r>
      <w:proofErr w:type="gramEnd"/>
      <w:r w:rsidRPr="000F387B">
        <w:rPr>
          <w:rFonts w:ascii="Arial" w:eastAsia="Times New Roman" w:hAnsi="Arial" w:cs="Arial"/>
          <w:b/>
          <w:bCs/>
        </w:rPr>
        <w:t xml:space="preserve"> Determine Capture Efficiency From Enclosures Around Hot Presses in the Plywood and Composite Wood Products Industry Using Sulfur Hexafluoride Tracer Gas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1.0   Scope and Application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This procedure has been developed specifically for the rule for the plywood and composite wood products (PCWP) industry and is used to determine the capture efficiency of a partial hot press enclosure in that industry. This procedure is applicable for the determination of capture efficiency for enclosures around hot presses and is an alternative to the construction of temporary total enclosures (TTE). Sulfur hexafluoride (SF</w:t>
      </w:r>
      <w:r w:rsidRPr="000F387B">
        <w:rPr>
          <w:rFonts w:ascii="Arial" w:eastAsia="Times New Roman" w:hAnsi="Arial" w:cs="Arial"/>
          <w:vertAlign w:val="subscript"/>
        </w:rPr>
        <w:t>6</w:t>
      </w:r>
      <w:r w:rsidRPr="000F387B">
        <w:rPr>
          <w:rFonts w:ascii="Arial" w:eastAsia="Times New Roman" w:hAnsi="Arial" w:cs="Arial"/>
        </w:rPr>
        <w:t>) is used as a tracer gas (other tracer gases may be used if approved by the EPA Administrator). This gas is not indigenous to the ambient atmosphere and is nonreactive.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This procedure uses infrared spectrometry (IR) as the analytical technique. When the infrared spectrometer used is a Fourier-Transform Infrared spectrometer (FTIR), an alternate instrument calibration procedure may be used; the alternate calibration procedure is the calibration transfer standard (CTS) procedure of EPA Method 320 (appendix A to 40 CFR part 63). Other analytical techniques which are capable of equivalent Method Performance (Section 13.0) also may be used. Specifically, gas chromatography with electron capture detection (GC/ECD) is an applicable technique for analysis of SF</w:t>
      </w:r>
      <w:r w:rsidRPr="000F387B">
        <w:rPr>
          <w:rFonts w:ascii="Arial" w:eastAsia="Times New Roman" w:hAnsi="Arial" w:cs="Arial"/>
          <w:vertAlign w:val="subscript"/>
        </w:rPr>
        <w:t>6</w:t>
      </w:r>
      <w:r w:rsidRPr="000F387B">
        <w:rPr>
          <w:rFonts w:ascii="Arial" w:eastAsia="Times New Roman" w:hAnsi="Arial" w:cs="Arial"/>
        </w:rPr>
        <w:t xml:space="preserve">.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2.0   Summary of Method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A constant mass flow rate of SF</w:t>
      </w:r>
      <w:r w:rsidRPr="000F387B">
        <w:rPr>
          <w:rFonts w:ascii="Arial" w:eastAsia="Times New Roman" w:hAnsi="Arial" w:cs="Arial"/>
          <w:vertAlign w:val="subscript"/>
        </w:rPr>
        <w:t>6</w:t>
      </w:r>
      <w:r w:rsidRPr="000F387B">
        <w:rPr>
          <w:rFonts w:ascii="Arial" w:eastAsia="Times New Roman" w:hAnsi="Arial" w:cs="Arial"/>
        </w:rPr>
        <w:t xml:space="preserve"> tracer gas is released through manifolds at multiple locations within the enclosure to mimic the release of hazardous air pollutants during the press process. This test method requires a minimum of three SF</w:t>
      </w:r>
      <w:r w:rsidRPr="000F387B">
        <w:rPr>
          <w:rFonts w:ascii="Arial" w:eastAsia="Times New Roman" w:hAnsi="Arial" w:cs="Arial"/>
          <w:vertAlign w:val="subscript"/>
        </w:rPr>
        <w:t>6</w:t>
      </w:r>
      <w:r w:rsidRPr="000F387B">
        <w:rPr>
          <w:rFonts w:ascii="Arial" w:eastAsia="Times New Roman" w:hAnsi="Arial" w:cs="Arial"/>
        </w:rPr>
        <w:t xml:space="preserve"> injection points (two at the press unloader and one at the press) and provides details about considerations for locating the injection points. A GC/ECD is used to measure the concentration of SF</w:t>
      </w:r>
      <w:r w:rsidRPr="000F387B">
        <w:rPr>
          <w:rFonts w:ascii="Arial" w:eastAsia="Times New Roman" w:hAnsi="Arial" w:cs="Arial"/>
          <w:vertAlign w:val="subscript"/>
        </w:rPr>
        <w:t>6</w:t>
      </w:r>
      <w:r w:rsidRPr="000F387B">
        <w:rPr>
          <w:rFonts w:ascii="Arial" w:eastAsia="Times New Roman" w:hAnsi="Arial" w:cs="Arial"/>
        </w:rPr>
        <w:t xml:space="preserve"> at the inlet duct to the control device (outlet duct from enclosure). Simultaneously, EPA Method 2 (appendix A to 40 CFR part 60) is used to measure the flow rate at the inlet duct to the control device. The concentration and flow rate measurements are used to calculate the mass emission rate of SF</w:t>
      </w:r>
      <w:r w:rsidRPr="000F387B">
        <w:rPr>
          <w:rFonts w:ascii="Arial" w:eastAsia="Times New Roman" w:hAnsi="Arial" w:cs="Arial"/>
          <w:vertAlign w:val="subscript"/>
        </w:rPr>
        <w:t>6</w:t>
      </w:r>
      <w:r w:rsidRPr="000F387B">
        <w:rPr>
          <w:rFonts w:ascii="Arial" w:eastAsia="Times New Roman" w:hAnsi="Arial" w:cs="Arial"/>
        </w:rPr>
        <w:t xml:space="preserve"> at the control device inlet. Through calculation of the mass of SF</w:t>
      </w:r>
      <w:r w:rsidRPr="000F387B">
        <w:rPr>
          <w:rFonts w:ascii="Arial" w:eastAsia="Times New Roman" w:hAnsi="Arial" w:cs="Arial"/>
          <w:vertAlign w:val="subscript"/>
        </w:rPr>
        <w:t>6</w:t>
      </w:r>
      <w:r w:rsidRPr="000F387B">
        <w:rPr>
          <w:rFonts w:ascii="Arial" w:eastAsia="Times New Roman" w:hAnsi="Arial" w:cs="Arial"/>
        </w:rPr>
        <w:t xml:space="preserve"> released through the manifolds and the mass of SF</w:t>
      </w:r>
      <w:r w:rsidRPr="000F387B">
        <w:rPr>
          <w:rFonts w:ascii="Arial" w:eastAsia="Times New Roman" w:hAnsi="Arial" w:cs="Arial"/>
          <w:vertAlign w:val="subscript"/>
        </w:rPr>
        <w:t>6</w:t>
      </w:r>
      <w:r w:rsidRPr="000F387B">
        <w:rPr>
          <w:rFonts w:ascii="Arial" w:eastAsia="Times New Roman" w:hAnsi="Arial" w:cs="Arial"/>
        </w:rPr>
        <w:t xml:space="preserve"> measured at the inlet to the control device, the capture efficiency of the enclosure is calculated.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In addition, optional samples of the ambient air may be taken at locations around the perimeter of the enclosure to quantify the ambient concentration of SF</w:t>
      </w:r>
      <w:r w:rsidRPr="000F387B">
        <w:rPr>
          <w:rFonts w:ascii="Arial" w:eastAsia="Times New Roman" w:hAnsi="Arial" w:cs="Arial"/>
          <w:vertAlign w:val="subscript"/>
        </w:rPr>
        <w:t>6</w:t>
      </w:r>
      <w:r w:rsidRPr="000F387B">
        <w:rPr>
          <w:rFonts w:ascii="Arial" w:eastAsia="Times New Roman" w:hAnsi="Arial" w:cs="Arial"/>
        </w:rPr>
        <w:t xml:space="preserve"> and to identify those areas of the enclosure that may be performing less efficiently; these samples would be taken using disposable syringes and would be analyzed using a GC/ECD.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Finally, in addition to the requirements specified in this procedure, the data quality objectives (DQO) or lower confidence limit (LCL) criteria specified in appendix A to 40 CFR part 63, subpart KK, Data Quality Objective and Lower Confidence Limit Approaches for Alternative Capture Efficiency Protocols and Test Methods, must also be satisfied. A minimum of three test runs are required for this procedure; however, additional test runs may be required based on the results of the DQO or LCL analysis.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3.0   Definitions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3.1   Capture efficiency (CE). The weight per unit time of SF</w:t>
      </w:r>
      <w:r w:rsidRPr="000F387B">
        <w:rPr>
          <w:rFonts w:ascii="Arial" w:eastAsia="Times New Roman" w:hAnsi="Arial" w:cs="Arial"/>
          <w:vertAlign w:val="subscript"/>
        </w:rPr>
        <w:t>6</w:t>
      </w:r>
      <w:r w:rsidRPr="000F387B">
        <w:rPr>
          <w:rFonts w:ascii="Arial" w:eastAsia="Times New Roman" w:hAnsi="Arial" w:cs="Arial"/>
        </w:rPr>
        <w:t xml:space="preserve"> entering the control device divided by the weight per unit time of SF</w:t>
      </w:r>
      <w:r w:rsidRPr="000F387B">
        <w:rPr>
          <w:rFonts w:ascii="Arial" w:eastAsia="Times New Roman" w:hAnsi="Arial" w:cs="Arial"/>
          <w:vertAlign w:val="subscript"/>
        </w:rPr>
        <w:t>6</w:t>
      </w:r>
      <w:r w:rsidRPr="000F387B">
        <w:rPr>
          <w:rFonts w:ascii="Arial" w:eastAsia="Times New Roman" w:hAnsi="Arial" w:cs="Arial"/>
        </w:rPr>
        <w:t xml:space="preserve"> released through manifolds at multiple locations within the enclosure.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3.2   Control device (CD). The equipment used to reduce, by destruction or removal, press exhaust air pollutants prior to discharge to the ambient air.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3.3   Control/destruction efficiency (DE). The volatile organic compound or HAP removal efficiency of the control device.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3.4   Data Quality Objective (DQO) Approach. A statistical procedure to determine the precision of the data from a test series and to qualify the data in the determination of capture efficiency for compliance purposes. If the results of the DQO analysis of the initial three test runs do not satisfy the DQO criterion, the LCL approach can be used or additional test runs must be conducted. If additional test runs are conducted, then the DQO or LCL analysis is conducted using the data from both the initial test runs and all additional test runs.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3.5   Lower Confidence Limit (LCL) Approach. An alternative statistical procedure that can be used to qualify data in the determination of capture efficiency for compliance purposes. If the results of the LCL approach produce a CE that is too low for demonstrating compliance, then additional test runs must be conducted until the LCL or DQO is met. As with the DQO, data from all valid test runs must be used in the calculation.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3.6   Minimum Measurement Level (MML). The minimum tracer gas concentration expected to be measured during the test series. This value is selected by the tester based on the capabilities of the IR spectrometer (or GC/ECD) and the other known or measured parameters of the hot press enclosure to be tested. The selected MML must be above the low-level calibration standard and preferably below the mid-level calibration standard.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3.7   Method 204. The U.S. EPA Method 204, “Criteria For and Verification of a Permanent or Temporary Total Enclosure” (40 CFR part 51, appendix 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3.8   Method 205. The U.S. EPA Method 205, “Verification of Gas Dilution Systems for Field Instrument Calibrations” (40 CFR part 51, appendix 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3.9   Method 320. The U.S. EPA Method 320, “Measurement of Vapor Phase Organic and Inorganic Emissions by Extractive Fourier Transform Infrared (FTIR) Spectroscopy” (40 CFR part 63, appendix A).</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3.10   Overall capture and control efficiency (CCE). The collection and control/destruction efficiency of both the PPE and CD combined. The CCE is calculated as the product of the CE and DE.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3.11   Partial press enclosure (PPE). The physical barrier that “partially” encloses the press equipment, captures a significant amount of the associated emissions, and transports those emissions to the CD.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3.12   Test series. A minimum of three test runs or, when more than three runs are conducted, all of the test runs conducted.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4.0   Interferences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There are no known interferences.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5.0   Safety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Sulfur hexafluoride is a colorless, odorless, nonflammable liquefied gas. It is stable and nonreactive and, because it is noncorrosive, most structural materials are compatible with it. The Occupational Safety and Health Administration Permissible Emission Limit-Time Weighted Average (PEL-TWA) and Threshold Limit Value-Time Weighted Average (TLV-TWA) concentrations are 1,000 parts per million. Sulfur hexafluoride is an </w:t>
      </w:r>
      <w:proofErr w:type="spellStart"/>
      <w:r w:rsidRPr="000F387B">
        <w:rPr>
          <w:rFonts w:ascii="Arial" w:eastAsia="Times New Roman" w:hAnsi="Arial" w:cs="Arial"/>
        </w:rPr>
        <w:t>asphyxiant</w:t>
      </w:r>
      <w:proofErr w:type="spellEnd"/>
      <w:r w:rsidRPr="000F387B">
        <w:rPr>
          <w:rFonts w:ascii="Arial" w:eastAsia="Times New Roman" w:hAnsi="Arial" w:cs="Arial"/>
        </w:rPr>
        <w:t xml:space="preserve">. Exposure to an oxygen-deficient atmosphere (less than 19.5 percent oxygen) may cause dizziness, drowsiness, nausea, vomiting, excess salivation, diminished mental alertness, loss of consciousness, and death. Exposure to atmospheres containing less than 12 percent oxygen will bring about unconsciousness without warning and so quickly that the individuals cannot help themselves. Contact with liquid or cold vapor may cause frostbite. Avoid breathing sulfur hexafluoride gas. Self-contained breathing apparatus may be required by rescue workers. Sulfur hexafluoride is not listed as a carcinogen or a potential carcinogen.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6.0   Equipment and Supplies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This method requires equipment and supplies for: (a) the injection of tracer gas into the enclosure, (b) the measurement of the tracer gas concentration in the exhaust gas entering the control device, and (c) the measurement of the volumetric flow rate of the exhaust gas entering the control device. In addition, the requisite equipment needed for EPA Methods 1-4 in appendix A to 40 CFR part 60 will be required. Equipment and supplies for optional ambient air sampling are discussed in Section 8.6.</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6.1   Tracer Gas Injection.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6.1.1   Manifolds. This method requires the use of tracer gas supply cylinder(s) along with the appropriate flow control elements. Figure 1 shows a schematic drawing of the injection system showing potential locations for the tracer gas manifolds. Figure 2 shows a schematic drawing of the recommended configuration of the injection manifold. Three tracer gas discharge manifolds are required at a minimum.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6.1.2   Flow Control Meter. Flow control and measurement meter for measuring the quantity of tracer gas injected. A mass flow, volumetric flow, or critical orifice control meter can be used for this method. The meter must be accurate to within ±5 percent at the flow rate used. This means that the flow meter must be calibrated against a primary standard for flow measurement at the appropriate flow rate.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   Measurement of Tracer Gas Concentration.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6.2.1   Sampling Probes. Use Pyrex or stainless steel sampling probes of sufficient length to reach the traverse points calculated according to EPA Method 1 (appendix A to 40 CFR part 60).</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6.2.2   Sampling Line. Use a heated Teflon sampling line to transport the sample to the analytical instrument.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6.2.3   Sampling Pump. Use a sampling pump capable of extracting sufficient sample from the duct and transporting to the analytical instrument.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6.2.4   Sample Conditioning System. Use a particulate filter sufficient to protect the sampling pump and analytical instrument. At the discretion of the tester and depending on the equipment used and the moisture content of the exhaust gas, it may be necessary to further condition the sample by removing moisture using a condenser.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6.2.5   Analytical Instrument. Use one of the following analytical instruments.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6.2.5.1   Spectrometer. Use an infrared spectrometer designed to measuring SF</w:t>
      </w:r>
      <w:r w:rsidRPr="000F387B">
        <w:rPr>
          <w:rFonts w:ascii="Arial" w:eastAsia="Times New Roman" w:hAnsi="Arial" w:cs="Arial"/>
          <w:vertAlign w:val="subscript"/>
        </w:rPr>
        <w:t>6</w:t>
      </w:r>
      <w:r w:rsidRPr="000F387B">
        <w:rPr>
          <w:rFonts w:ascii="Arial" w:eastAsia="Times New Roman" w:hAnsi="Arial" w:cs="Arial"/>
        </w:rPr>
        <w:t xml:space="preserve"> tracer gas and capable of meeting or exceeding the specifications of this procedure. An FTIR meeting the specifications of Method 320 in appendix A to 40 CFR part 63 may be used.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6.2.5.2   GC/ECD. Use a GC/ECD designed to measure SF</w:t>
      </w:r>
      <w:r w:rsidRPr="000F387B">
        <w:rPr>
          <w:rFonts w:ascii="Arial" w:eastAsia="Times New Roman" w:hAnsi="Arial" w:cs="Arial"/>
          <w:vertAlign w:val="subscript"/>
        </w:rPr>
        <w:t>6</w:t>
      </w:r>
      <w:r w:rsidRPr="000F387B">
        <w:rPr>
          <w:rFonts w:ascii="Arial" w:eastAsia="Times New Roman" w:hAnsi="Arial" w:cs="Arial"/>
        </w:rPr>
        <w:t xml:space="preserve"> tracer gas and capable of meeting or exceeding the specifications of this procedure.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6.2.6   Recorder. At a minimum, use a recorder with linear strip chart. An automated data acquisition system (DAS) is recommended.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6.3   Exhaust Gas Flow Rate Measurement. Use equipment specified for EPA Methods 2, 3, and 4 in appendix A to 40 CFR part 60 for measuring flow rate of exhaust gas at the inlet to the control device.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7.0   Reagents and Standards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7.1   Tracer Gas. Use SF</w:t>
      </w:r>
      <w:r w:rsidRPr="000F387B">
        <w:rPr>
          <w:rFonts w:ascii="Arial" w:eastAsia="Times New Roman" w:hAnsi="Arial" w:cs="Arial"/>
          <w:vertAlign w:val="subscript"/>
        </w:rPr>
        <w:t>6</w:t>
      </w:r>
      <w:r w:rsidRPr="000F387B">
        <w:rPr>
          <w:rFonts w:ascii="Arial" w:eastAsia="Times New Roman" w:hAnsi="Arial" w:cs="Arial"/>
        </w:rPr>
        <w:t xml:space="preserve"> as the tracer gas. The manufacturer of the SF</w:t>
      </w:r>
      <w:r w:rsidRPr="000F387B">
        <w:rPr>
          <w:rFonts w:ascii="Arial" w:eastAsia="Times New Roman" w:hAnsi="Arial" w:cs="Arial"/>
          <w:vertAlign w:val="subscript"/>
        </w:rPr>
        <w:t>6</w:t>
      </w:r>
      <w:r w:rsidRPr="000F387B">
        <w:rPr>
          <w:rFonts w:ascii="Arial" w:eastAsia="Times New Roman" w:hAnsi="Arial" w:cs="Arial"/>
        </w:rPr>
        <w:t xml:space="preserve"> tracer gas should provide a recommended shelf life for the tracer gas cylinder over which the concentration does not change more than ±2 percent from the certified value. A gas mixture of SF</w:t>
      </w:r>
      <w:r w:rsidRPr="000F387B">
        <w:rPr>
          <w:rFonts w:ascii="Arial" w:eastAsia="Times New Roman" w:hAnsi="Arial" w:cs="Arial"/>
          <w:vertAlign w:val="subscript"/>
        </w:rPr>
        <w:t>6</w:t>
      </w:r>
      <w:r w:rsidRPr="000F387B">
        <w:rPr>
          <w:rFonts w:ascii="Arial" w:eastAsia="Times New Roman" w:hAnsi="Arial" w:cs="Arial"/>
        </w:rPr>
        <w:t xml:space="preserve"> diluted with nitrogen should be used; based on experience and calculations, pure SF</w:t>
      </w:r>
      <w:r w:rsidRPr="000F387B">
        <w:rPr>
          <w:rFonts w:ascii="Arial" w:eastAsia="Times New Roman" w:hAnsi="Arial" w:cs="Arial"/>
          <w:vertAlign w:val="subscript"/>
        </w:rPr>
        <w:t>6</w:t>
      </w:r>
      <w:r w:rsidRPr="000F387B">
        <w:rPr>
          <w:rFonts w:ascii="Arial" w:eastAsia="Times New Roman" w:hAnsi="Arial" w:cs="Arial"/>
        </w:rPr>
        <w:t xml:space="preserve"> gas is not necessary to conduct tracer gas testing. Select a concentration and flow rate that is appropriate for the analytical instrument's detection limit, the MML, and the exhaust gas flow rate from the enclosure (see section 8.1.1). You may use a tracer gas other than SF</w:t>
      </w:r>
      <w:r w:rsidRPr="000F387B">
        <w:rPr>
          <w:rFonts w:ascii="Arial" w:eastAsia="Times New Roman" w:hAnsi="Arial" w:cs="Arial"/>
          <w:vertAlign w:val="subscript"/>
        </w:rPr>
        <w:t>6</w:t>
      </w:r>
      <w:r w:rsidRPr="000F387B">
        <w:rPr>
          <w:rFonts w:ascii="Arial" w:eastAsia="Times New Roman" w:hAnsi="Arial" w:cs="Arial"/>
        </w:rPr>
        <w:t xml:space="preserve"> with the prior approval of the EPA Administrator. If you use an approved tracer gas other than SF</w:t>
      </w:r>
      <w:r w:rsidRPr="000F387B">
        <w:rPr>
          <w:rFonts w:ascii="Arial" w:eastAsia="Times New Roman" w:hAnsi="Arial" w:cs="Arial"/>
          <w:vertAlign w:val="subscript"/>
        </w:rPr>
        <w:t>6</w:t>
      </w:r>
      <w:r w:rsidRPr="000F387B">
        <w:rPr>
          <w:rFonts w:ascii="Arial" w:eastAsia="Times New Roman" w:hAnsi="Arial" w:cs="Arial"/>
        </w:rPr>
        <w:t>, all references to SF</w:t>
      </w:r>
      <w:r w:rsidRPr="000F387B">
        <w:rPr>
          <w:rFonts w:ascii="Arial" w:eastAsia="Times New Roman" w:hAnsi="Arial" w:cs="Arial"/>
          <w:vertAlign w:val="subscript"/>
        </w:rPr>
        <w:t>6</w:t>
      </w:r>
      <w:r w:rsidRPr="000F387B">
        <w:rPr>
          <w:rFonts w:ascii="Arial" w:eastAsia="Times New Roman" w:hAnsi="Arial" w:cs="Arial"/>
        </w:rPr>
        <w:t xml:space="preserve"> in this protocol instead refer to the approved tracer gas.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7.2   Calibration Gases. The SF</w:t>
      </w:r>
      <w:r w:rsidRPr="000F387B">
        <w:rPr>
          <w:rFonts w:ascii="Arial" w:eastAsia="Times New Roman" w:hAnsi="Arial" w:cs="Arial"/>
          <w:vertAlign w:val="subscript"/>
        </w:rPr>
        <w:t>6</w:t>
      </w:r>
      <w:r w:rsidRPr="000F387B">
        <w:rPr>
          <w:rFonts w:ascii="Arial" w:eastAsia="Times New Roman" w:hAnsi="Arial" w:cs="Arial"/>
        </w:rPr>
        <w:t xml:space="preserve"> calibration gases required will be dependent on the selected MML and the appropriate span selected for the test. Commercial cylinder gases certified by the manufacturer to be accurate to within 1 percent of the certified label value are preferable, although cylinder gases certified by the manufacturer to 2 percent accuracy are allowed. Additionally, the manufacturer of the SF</w:t>
      </w:r>
      <w:r w:rsidRPr="000F387B">
        <w:rPr>
          <w:rFonts w:ascii="Arial" w:eastAsia="Times New Roman" w:hAnsi="Arial" w:cs="Arial"/>
          <w:vertAlign w:val="subscript"/>
        </w:rPr>
        <w:t>6</w:t>
      </w:r>
      <w:r w:rsidRPr="000F387B">
        <w:rPr>
          <w:rFonts w:ascii="Arial" w:eastAsia="Times New Roman" w:hAnsi="Arial" w:cs="Arial"/>
        </w:rPr>
        <w:t xml:space="preserve"> calibration gases should provide a recommended shelf life for each calibration gas cylinder over which the concentration does not change more than ±2 percent from the certified value. Another option allowed by this method is for the tester to obtain high concentration certified cylinder gases and then use a dilution system meeting the requirements of EPA Method 205, 40 CFR part 51, appendix M, to make multi-level calibration gas standards. Low-level, mid-level, and high-level calibration gases will be required. The MML must be above the low-level standard, the high-level standard must be no more than four times the low-level standard, and the mid-level standard must be approximately halfway between the high- and low-level standards. See section 12.1 for an example calculation of this procedure. </w:t>
      </w:r>
    </w:p>
    <w:p w:rsidR="000F387B" w:rsidRPr="000F387B" w:rsidRDefault="000F387B" w:rsidP="000F387B">
      <w:pPr>
        <w:spacing w:before="200" w:after="100" w:afterAutospacing="1" w:line="240" w:lineRule="auto"/>
        <w:ind w:firstLine="480"/>
        <w:rPr>
          <w:rFonts w:ascii="Arial" w:eastAsia="Times New Roman" w:hAnsi="Arial" w:cs="Arial"/>
        </w:rPr>
      </w:pPr>
      <w:r w:rsidRPr="000F387B">
        <w:rPr>
          <w:rFonts w:ascii="Arial" w:eastAsia="Times New Roman" w:hAnsi="Arial" w:cs="Arial"/>
          <w:smallCaps/>
        </w:rPr>
        <w:t>Note:</w:t>
      </w:r>
      <w:r w:rsidRPr="000F387B">
        <w:rPr>
          <w:rFonts w:ascii="Arial" w:eastAsia="Times New Roman" w:hAnsi="Arial" w:cs="Arial"/>
        </w:rPr>
        <w:t xml:space="preserve"> If using an FTIR as the analytical instrument, the tester has the option of following the CTS procedures of Method 320 in appendix A to 40 CFR part 63; the calibration standards (and procedures) specified in Method 320 may be used in lieu of the calibration standards and procedures in this protocol.</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7.2.1   Zero Gas. High purity nitrogen.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7.2.2   Low-Level Calibration Gas. An SF</w:t>
      </w:r>
      <w:r w:rsidRPr="000F387B">
        <w:rPr>
          <w:rFonts w:ascii="Arial" w:eastAsia="Times New Roman" w:hAnsi="Arial" w:cs="Arial"/>
          <w:vertAlign w:val="subscript"/>
        </w:rPr>
        <w:t>6</w:t>
      </w:r>
      <w:r w:rsidRPr="000F387B">
        <w:rPr>
          <w:rFonts w:ascii="Arial" w:eastAsia="Times New Roman" w:hAnsi="Arial" w:cs="Arial"/>
        </w:rPr>
        <w:t xml:space="preserve"> calibration gas in nitrogen with a concentration equivalent to 20 to 30 percent of the applicable span value.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7.2.3   Mid-Level Calibration Gas. An SF</w:t>
      </w:r>
      <w:r w:rsidRPr="000F387B">
        <w:rPr>
          <w:rFonts w:ascii="Arial" w:eastAsia="Times New Roman" w:hAnsi="Arial" w:cs="Arial"/>
          <w:vertAlign w:val="subscript"/>
        </w:rPr>
        <w:t>6</w:t>
      </w:r>
      <w:r w:rsidRPr="000F387B">
        <w:rPr>
          <w:rFonts w:ascii="Arial" w:eastAsia="Times New Roman" w:hAnsi="Arial" w:cs="Arial"/>
        </w:rPr>
        <w:t xml:space="preserve"> calibration gas in nitrogen with a concentration equivalent to 45 to 55 percent of the applicable span value.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7.2.4   High-Level Calibration Gas. An SF</w:t>
      </w:r>
      <w:r w:rsidRPr="000F387B">
        <w:rPr>
          <w:rFonts w:ascii="Arial" w:eastAsia="Times New Roman" w:hAnsi="Arial" w:cs="Arial"/>
          <w:vertAlign w:val="subscript"/>
        </w:rPr>
        <w:t>6</w:t>
      </w:r>
      <w:r w:rsidRPr="000F387B">
        <w:rPr>
          <w:rFonts w:ascii="Arial" w:eastAsia="Times New Roman" w:hAnsi="Arial" w:cs="Arial"/>
        </w:rPr>
        <w:t xml:space="preserve"> calibration gas in nitrogen with a concentration equivalent to 80 to 90 percent of the applicable span value.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8.0   Sample Collection, Preservation, Storage, and Transport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   Test Design.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8.1.1   Determination of Minimum Tracer Gas Flow Rate.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8.1.1.1   Determine (via design calculations or measurements) the approximate flow rate of the exhaust gas through the enclosure, actual cubic feet per minute (</w:t>
      </w:r>
      <w:proofErr w:type="spellStart"/>
      <w:r w:rsidRPr="000F387B">
        <w:rPr>
          <w:rFonts w:ascii="Arial" w:eastAsia="Times New Roman" w:hAnsi="Arial" w:cs="Arial"/>
        </w:rPr>
        <w:t>acfm</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8.1.1.2   Calculate the minimum tracer gas injection rate necessary to assure a detectable SF</w:t>
      </w:r>
      <w:r w:rsidRPr="000F387B">
        <w:rPr>
          <w:rFonts w:ascii="Arial" w:eastAsia="Times New Roman" w:hAnsi="Arial" w:cs="Arial"/>
          <w:vertAlign w:val="subscript"/>
        </w:rPr>
        <w:t>6</w:t>
      </w:r>
      <w:r w:rsidRPr="000F387B">
        <w:rPr>
          <w:rFonts w:ascii="Arial" w:eastAsia="Times New Roman" w:hAnsi="Arial" w:cs="Arial"/>
        </w:rPr>
        <w:t xml:space="preserve"> concentration at the exhaust gas measurement point (see section 12.1 for calculation).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8.1.1.3   Select a flow meter for the injection system with an operating range appropriate for the injection rate selected.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8.1.2   Determination of the Approximate Time to Reach Equilibrium.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8.1.2.1   Determine the volume of the enclosure.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8.1.2.2   Calculate the air changes per minute of the enclosure by dividing the approximate exhaust flow rate (8.1.1.1 above) by the enclosed volume (8.1.2.1 above).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8.1.2.3   Calculate the time at which the tracer concentration in the enclosure will achieve approximate equilibrium. Divide 3 by the air changes per minute (8.1.2.2 above) to establish this time. This is the approximate length of time for the system to come to equilibrium. Concentration equilibrium occurs when the tracer concentration in the enclosure stops changing as a function of time for a constant tracer release rate. Because the press is continuously cycling, equilibrium may be exhibited by a repeating, but stable, cyclic pattern rather than a single constant concentration value. Assure sufficient tracer gas is available to allow the system to come to equilibrium, and to sample for a minimum of 20 minutes and repeat the procedure for a minimum of three test runs. Additional test runs may be required based on the results of the DQO and LCL analyses described in 40 CFR part 63, subpart KK, appendix A.</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8.1.3   Location of Injection Points. This method requires a minimum of three tracer gas injection points. The injection points should be located within leak prone, volatile organic compound/hazardous air pollutant (VOC/HAP) producing areas around the press, or horizontally within 12 inches of the defined equipment. One potential configuration of the injection points is depicted in Figure 1. The effect of wind, exfiltration through the building envelope, and air flowing through open building doors should be considered when locating tracer gas injection points within the enclosure. The injection points should also be located at a vertical elevation equal to the VOC/HAP generating zones. The injection points should not be located beneath obstructions that would prevent a natural dispersion of the gas. Document the selected injection points in a drawing(s).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8.1.4   Location of Flow Measurement and Tracer Sampling. Accurate CD inlet gas flow rate measurements are critical to the success of this procedure. Select a measurement location meeting the criteria of EPA Method 1 (40 CFR part 60, appendix A), Sampling and Velocity Traverses for Stationary Sources. Also, when selecting the measurement location, consider whether stratification of the tracer gas is likely at the location (</w:t>
      </w:r>
      <w:r w:rsidRPr="000F387B">
        <w:rPr>
          <w:rFonts w:ascii="Arial" w:eastAsia="Times New Roman" w:hAnsi="Arial" w:cs="Arial"/>
          <w:i/>
          <w:iCs/>
        </w:rPr>
        <w:t>e.g.</w:t>
      </w:r>
      <w:r w:rsidRPr="000F387B">
        <w:rPr>
          <w:rFonts w:ascii="Arial" w:eastAsia="Times New Roman" w:hAnsi="Arial" w:cs="Arial"/>
        </w:rPr>
        <w:t>, do not select a location immediately after a point of air in-leakage to the duct).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8.2   Tracer Gas Release. Release the tracer gas at a calculated flow rate (see section 12.1 for calculation) through a minimum of three injection manifolds located as described above in 8.1.3. The tracer gas delivery lines must be routed into the enclosure and attached to the manifolds without violating the integrity of the enclosure.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8.3   Pretest Measurements.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8.3.1   Location of Sampling Point(s). If stratification is not suspected at the measurement location, select a single sample point located at the centroid of the CD inlet duct or at a point no closer to the CD inlet duct walls than 1 meter. If stratification is suspected, establish a “measurement line” that passes through the </w:t>
      </w:r>
      <w:proofErr w:type="spellStart"/>
      <w:r w:rsidRPr="000F387B">
        <w:rPr>
          <w:rFonts w:ascii="Arial" w:eastAsia="Times New Roman" w:hAnsi="Arial" w:cs="Arial"/>
        </w:rPr>
        <w:t>centroidal</w:t>
      </w:r>
      <w:proofErr w:type="spellEnd"/>
      <w:r w:rsidRPr="000F387B">
        <w:rPr>
          <w:rFonts w:ascii="Arial" w:eastAsia="Times New Roman" w:hAnsi="Arial" w:cs="Arial"/>
        </w:rPr>
        <w:t xml:space="preserve"> area and in the direction of any expected stratification. Locate three traverse points at 16.7, 50.0 and 83.3 percent of the measurement line and sample from each of these three points during each run, or follow the procedure in section 8.3.2 to verify whether stratification does or does not exist.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8.3.2   Stratification Verification. The presence or absence of stratification can be verified by using the following procedure. While the facility is operating normally, initiate tracer gas release into the enclosure. For rectangular ducts, locate at least nine sample points in the cross section such that the sample points are the centroids of similarly-shaped, equal area divisions of the cross section. Measure the tracer gas concentration at each point. Calculate the mean value for all sample points. For circular ducts, conduct a 12-point traverse (</w:t>
      </w:r>
      <w:r w:rsidRPr="000F387B">
        <w:rPr>
          <w:rFonts w:ascii="Arial" w:eastAsia="Times New Roman" w:hAnsi="Arial" w:cs="Arial"/>
          <w:i/>
          <w:iCs/>
        </w:rPr>
        <w:t>i.e.</w:t>
      </w:r>
      <w:r w:rsidRPr="000F387B">
        <w:rPr>
          <w:rFonts w:ascii="Arial" w:eastAsia="Times New Roman" w:hAnsi="Arial" w:cs="Arial"/>
        </w:rPr>
        <w:t>, six points on each of the two perpendicular diameters) locating the sample points as described in 40 CFR part 60, appendix A, Method 1. Perform the measurements and calculations as described above. Determine if the mean pollutant concentration is more than 10 percent different from any single point. If so, the cross section is considered to be stratified, and the tester may not use a single sample point location, but must use the three traverse points at 16.7, 50.0, and 83.3 percent of the entire measurement line. Other traverse points may be selected, provided that they can be shown to the satisfaction of the Administrator to provide a representative sample over the stack or duct cross section.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8.4   CD Inlet Gas Flow Rate Measurements. The procedures of EPA Methods 1-4 (40 CFR part 60, appendix A) are used to determine the CD inlet gas flow rate. Molecular weight (Method 3) and moisture (Method 4) determinations are only required once for each test series. However, if the test series is not completed within 24 hours, then the molecular weight and moisture measurements should be repeated daily. As a minimum, velocity measurements are conducted according to the procedures of Methods 1 and 2 before and after each test run, as close to the start and end of the run as practicable. A velocity measurement between two runs satisfies both the criterion of “after” the run just completed and “before” the run to be initiated. Accurate exhaust gas flow rate measurements are critical to the success of this procedure. If significant temporal variations of flow rate are anticipated during the test run under normal process operating conditions, take appropriate steps to accurately measure the flow rate during the test. Examples of steps that might be taken include: (1) conducting additional velocity traverses during the test run; or (2) continuously monitoring a single point of average velocity during the run and using these data, in conjunction with the pre- and post-test traverses, to calculate an average velocity for the test run.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8.5   Tracer Gas Measurement Procedure.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8.5.1   Calibration Error Test. Immediately prior to the emission test (within 2 hours of the start of the test), introduce zero gas and high-level calibration gas at the calibration valve assembly. Zero and calibrate the analyzer according to the manufacturer's procedures using, respectively, nitrogen and the calibration gases. Calculate the predicted response for the low-level and mid-level gases based on a linear response line between the zero and high-level response. Then introduce the low-level and mid-level calibration gases successively to the measurement system. Record the analyzer responses for the low-level and mid-level calibration gases and determine the differences between the measurement system responses and the predicted responses using the equation in section 12.3. These differences must be less than 5 percent of the respective calibration gas value. If not, the measurement system must be replaced or repaired prior to testing. No adjustments to the measurement system shall be conducted after the calibration and before the drift determination (section 8.5.4). If adjustments are necessary before the completion of the test series, perform the drift checks prior to the required adjustments and repeat the calibration following the adjustments. If multiple electronic ranges are to be used, each additional range must be checked with a mid-level calibration gas to verify the multiplication factor. </w:t>
      </w:r>
    </w:p>
    <w:p w:rsidR="000F387B" w:rsidRPr="000F387B" w:rsidRDefault="000F387B" w:rsidP="000F387B">
      <w:pPr>
        <w:spacing w:before="200" w:after="100" w:afterAutospacing="1" w:line="240" w:lineRule="auto"/>
        <w:ind w:firstLine="480"/>
        <w:rPr>
          <w:rFonts w:ascii="Arial" w:eastAsia="Times New Roman" w:hAnsi="Arial" w:cs="Arial"/>
        </w:rPr>
      </w:pPr>
      <w:r w:rsidRPr="000F387B">
        <w:rPr>
          <w:rFonts w:ascii="Arial" w:eastAsia="Times New Roman" w:hAnsi="Arial" w:cs="Arial"/>
          <w:smallCaps/>
        </w:rPr>
        <w:t>Note:</w:t>
      </w:r>
      <w:r w:rsidRPr="000F387B">
        <w:rPr>
          <w:rFonts w:ascii="Arial" w:eastAsia="Times New Roman" w:hAnsi="Arial" w:cs="Arial"/>
        </w:rPr>
        <w:t xml:space="preserve"> If using an FTIR for the analytical instrument, you may choose to follow the pretest preparation, evaluation, and calibration procedures of Method 320 (section 8.0) (40 CFR part 63, appendix A) in lieu of the above procedure.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8.5.2   Response Time Test. Conduct this test once prior to each test series. Introduce zero gas into the measurement system at the calibration valve assembly. When the system output has stabilized, switch quickly to the high-level calibration gas. Record the time from the concentration change to the measurement system response equivalent to 95 percent of the step change. Repeat the test three times and average the results.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8.5.3   SF</w:t>
      </w:r>
      <w:r w:rsidRPr="000F387B">
        <w:rPr>
          <w:rFonts w:ascii="Arial" w:eastAsia="Times New Roman" w:hAnsi="Arial" w:cs="Arial"/>
          <w:vertAlign w:val="subscript"/>
        </w:rPr>
        <w:t>6</w:t>
      </w:r>
      <w:r w:rsidRPr="000F387B">
        <w:rPr>
          <w:rFonts w:ascii="Arial" w:eastAsia="Times New Roman" w:hAnsi="Arial" w:cs="Arial"/>
        </w:rPr>
        <w:t xml:space="preserve"> Measurement. Sampling of the enclosure exhaust gas at the inlet to the CD should begin at the onset of tracer gas release. If necessary, adjust the tracer gas injection rate such that the measured tracer gas concentration at the CD inlet is within the spectrometer's calibration range (</w:t>
      </w:r>
      <w:r w:rsidRPr="000F387B">
        <w:rPr>
          <w:rFonts w:ascii="Arial" w:eastAsia="Times New Roman" w:hAnsi="Arial" w:cs="Arial"/>
          <w:i/>
          <w:iCs/>
        </w:rPr>
        <w:t>i.e.</w:t>
      </w:r>
      <w:r w:rsidRPr="000F387B">
        <w:rPr>
          <w:rFonts w:ascii="Arial" w:eastAsia="Times New Roman" w:hAnsi="Arial" w:cs="Arial"/>
        </w:rPr>
        <w:t>, between the MML and the span value). Once the tracer gas concentration reaches equilibrium, the SF</w:t>
      </w:r>
      <w:r w:rsidRPr="000F387B">
        <w:rPr>
          <w:rFonts w:ascii="Arial" w:eastAsia="Times New Roman" w:hAnsi="Arial" w:cs="Arial"/>
          <w:vertAlign w:val="subscript"/>
        </w:rPr>
        <w:t>6</w:t>
      </w:r>
      <w:r w:rsidRPr="000F387B">
        <w:rPr>
          <w:rFonts w:ascii="Arial" w:eastAsia="Times New Roman" w:hAnsi="Arial" w:cs="Arial"/>
        </w:rPr>
        <w:t xml:space="preserve"> concentration should be measured using the infrared spectrometer continuously for at least 20 minutes per run. Continuously record (</w:t>
      </w:r>
      <w:r w:rsidRPr="000F387B">
        <w:rPr>
          <w:rFonts w:ascii="Arial" w:eastAsia="Times New Roman" w:hAnsi="Arial" w:cs="Arial"/>
          <w:i/>
          <w:iCs/>
        </w:rPr>
        <w:t>i.e.</w:t>
      </w:r>
      <w:r w:rsidRPr="000F387B">
        <w:rPr>
          <w:rFonts w:ascii="Arial" w:eastAsia="Times New Roman" w:hAnsi="Arial" w:cs="Arial"/>
        </w:rPr>
        <w:t xml:space="preserve">, record at least once per minute) the concentration. Conduct at least three test runs. On the recording chart, in the data acquisition system, or in a log book, make a note of periods of process interruption or cyclic operation such as the cycles of the hot press operation. Table 1 to this appendix summarizes the physical measurements required for the enclosure testing. </w:t>
      </w:r>
    </w:p>
    <w:p w:rsidR="000F387B" w:rsidRPr="000F387B" w:rsidRDefault="000F387B" w:rsidP="000F387B">
      <w:pPr>
        <w:spacing w:before="200" w:after="100" w:afterAutospacing="1" w:line="240" w:lineRule="auto"/>
        <w:ind w:firstLine="480"/>
        <w:rPr>
          <w:rFonts w:ascii="Arial" w:eastAsia="Times New Roman" w:hAnsi="Arial" w:cs="Arial"/>
        </w:rPr>
      </w:pPr>
      <w:r w:rsidRPr="000F387B">
        <w:rPr>
          <w:rFonts w:ascii="Arial" w:eastAsia="Times New Roman" w:hAnsi="Arial" w:cs="Arial"/>
          <w:smallCaps/>
        </w:rPr>
        <w:t>Note:</w:t>
      </w:r>
      <w:r w:rsidRPr="000F387B">
        <w:rPr>
          <w:rFonts w:ascii="Arial" w:eastAsia="Times New Roman" w:hAnsi="Arial" w:cs="Arial"/>
        </w:rPr>
        <w:t xml:space="preserve"> If a GC/ECD is used as the analytical instrument, a continuous record (at least once per minute) likely will not be possible; make a minimum of five injections during each test run. Also, the minimum test run duration criterion of 20 minutes applies.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8.5.4   Drift Determination. Immediately following the completion of the test run, reintroduce the zero and mid-level calibration gases, one at a time, to the measurement system at the calibration valve assembly. (Make no adjustments to the measurement system until both the zero and calibration drift checks are made.) Record the analyzer responses for the zero and mid-level calibration gases and determine the difference between the instrument responses for each gas prior to and after the emission test run using the equation in section 12.4. If the drift values exceed the specified limits (section 13), invalidate the test results preceding the check and repeat the test following corrections to the measurement system. Alternatively, recalibrate the test measurement system as in section 8.5.1 and report the results using both sets of calibration data (</w:t>
      </w:r>
      <w:r w:rsidRPr="000F387B">
        <w:rPr>
          <w:rFonts w:ascii="Arial" w:eastAsia="Times New Roman" w:hAnsi="Arial" w:cs="Arial"/>
          <w:i/>
          <w:iCs/>
        </w:rPr>
        <w:t>i.e.</w:t>
      </w:r>
      <w:r w:rsidRPr="000F387B">
        <w:rPr>
          <w:rFonts w:ascii="Arial" w:eastAsia="Times New Roman" w:hAnsi="Arial" w:cs="Arial"/>
        </w:rPr>
        <w:t>, data determined prior to the test period and data determined following the test period). Note: If using an FTIR for the analytical instrument, you may choose to follow the post-test calibration procedures of Method 320 in appendix A to 40 CFR part 63 (section 8.11.2) in lieu of the above procedures.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8.6   Ambient Air Sampling (Optional). Sampling the ambient air surrounding the enclosure is optional. However, taking these samples during the capture efficiency testing will identify those areas of the enclosure that may be performing less efficiently.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8.6.1   Location of Ambient Samples </w:t>
      </w:r>
      <w:proofErr w:type="gramStart"/>
      <w:r w:rsidRPr="000F387B">
        <w:rPr>
          <w:rFonts w:ascii="Arial" w:eastAsia="Times New Roman" w:hAnsi="Arial" w:cs="Arial"/>
        </w:rPr>
        <w:t>Outside</w:t>
      </w:r>
      <w:proofErr w:type="gramEnd"/>
      <w:r w:rsidRPr="000F387B">
        <w:rPr>
          <w:rFonts w:ascii="Arial" w:eastAsia="Times New Roman" w:hAnsi="Arial" w:cs="Arial"/>
        </w:rPr>
        <w:t xml:space="preserve"> the Enclosure (Optional). In selecting the sampling locations for collecting samples of the ambient air surrounding the enclosure, consider potential leak points, the direction of the release, and laminar flow characteristics in the area surrounding the enclosure. Samples should be collected from all sides of the enclosure, downstream in the prevailing room air flow, and in the operating personnel occupancy areas.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8.6.2   Collection of Ambient Samples (Optional). During the tracer gas release, collect ambient samples from the area surrounding the enclosure perimeter at predetermined location using disposable syringes or some other type of containers that are non-absorbent, inert, and that have low permeability (</w:t>
      </w:r>
      <w:r w:rsidRPr="000F387B">
        <w:rPr>
          <w:rFonts w:ascii="Arial" w:eastAsia="Times New Roman" w:hAnsi="Arial" w:cs="Arial"/>
          <w:i/>
          <w:iCs/>
        </w:rPr>
        <w:t>i.e.</w:t>
      </w:r>
      <w:r w:rsidRPr="000F387B">
        <w:rPr>
          <w:rFonts w:ascii="Arial" w:eastAsia="Times New Roman" w:hAnsi="Arial" w:cs="Arial"/>
        </w:rPr>
        <w:t>, polyvinyl fluoride film or polyester film sample bags or polyethylene, polypropylene, nylon or glass bottles). The use of disposable syringes allows samples to be injected directly into a gas chromatograph. Concentration measurements taken around the perimeter of the enclosure provide evidence of capture performance and will assist in the identification of those areas of the enclosure that are performing less efficiently.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8.6.3   Analysis and Storage of Ambient Samples (Optional). Analyze the ambient samples using an analytical instrument calibrated and operated according to the procedures in this appendix or ASTM E 260 and ASTM E 697. Samples may be analyzed immediately after a sample is taken, or they may be stored for future analysis. Experience has shown no degradation of concentration in polypropylene syringes when stored for several months as long as the needle or syringe is plugged. Polypropylene syringes should be discarded after one use to eliminate the possibility of cross contamination of samples.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9.0   Quality Control</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9.1   Sampling, System Leak Check. A sampling system leak check should be conducted prior to and after each test run to ensure the integrity of the sampling system.</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9.2   Zero and Calibration Drift Tests.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825"/>
        <w:gridCol w:w="1959"/>
        <w:gridCol w:w="6560"/>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Section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Quality control measure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Effect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8.5.4</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Zero and calibration drift tests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Ensures that bias introduced by drift in the measurement system output during the run is no greater than 3 percent of span.</w:t>
            </w:r>
          </w:p>
        </w:tc>
      </w:tr>
    </w:tbl>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10.0   Calibration and Standardization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10.1   Control Device Inlet Air Flow Rate Measurement Equipment. Follow the equipment calibration requirements specified in Methods 2, 3, and 4 (appendix A to 40 CFR part 60) for measuring the velocity, molecular weight, and moisture of the control device inlet air.</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10.2   Tracer Gas Injection Rate. A dry gas volume flow meter, mass flow meter, or orifice can be used to measure the tracer gas injection flow rate. The selected flow measurement device must have an accuracy of greater than ±5 percent at the field operating range. Prior to the test, verify the calibration of the selected flow measurement device using either a wet test meter, spirometer, or liquid displacement meter as the calibration device. Select a minimum of two flow rates to bracket the expected field operating range of the flow meter. Conduct three calibration runs at each of the two selected flow rates. For each run, note the exact quantity of gas as determined by the calibration standard and the gas volume indicated by the flow meter. For each flow rate, calculate the average percent difference of the indicated flow compared to the calibration standard.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10.3   Spectrometer. Follow the calibration requirements specified by the equipment manufacturer for infrared spectrometer measurements and conduct the pretest calibration error test specified in section 8.5.1. Note: if using an FTIR analytical instrument see Method 320, section 10 (appendix A to 40 CFR part 63).</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10.4   Gas Chromatograph. Follow the pre-test calibration requirements specified in section 8.5.1.</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10.5   Gas Chromatograph for Ambient Sampling (Optional). For the optional ambient sampling, follow the calibration requirements specified in section 8.5.1 or ASTM E 260 and E 697 and by the equipment manufacturer for gas chromatograph measurements.</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11.0   Analytical Procedures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The sample collection and analysis are concurrent for this method (see section 8.0).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12.0   Calculations and Data Analysis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12.1   Estimate MML and Span. The MML is the minimum measurement level. The selection of this level is at the discretion of the tester. However, the MML must be higher than the low-level calibration standard, and the tester must be able to measure at this level with a precision of ≤10 percent. As an example, select the MML as 10 times the instrument's published detection limit. The detection limit of one instrument is 0.01 parts per million by volume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Therefore, the MML would be 0.10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Select the low-level calibration standard as 0.08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The high-level standard would be four times the low-level standard or 0.32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A reasonable mid-level standard would then be 0.20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(halfway between the low-level standard and the high-level standard). Finally, the span value would be approximately 0.40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(the high-level value is 80 percent of the span). In this example, the following MML, calibration standards, and span values would apply: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MML = 0.10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Low-level standard = 0.08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Mid-level standard = 0.20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High-level standard = 0.32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Span value = 0.40 </w:t>
      </w:r>
      <w:proofErr w:type="spellStart"/>
      <w:r w:rsidRPr="000F387B">
        <w:rPr>
          <w:rFonts w:ascii="Arial" w:eastAsia="Times New Roman" w:hAnsi="Arial" w:cs="Arial"/>
        </w:rPr>
        <w:t>ppmv</w:t>
      </w:r>
      <w:proofErr w:type="spellEnd"/>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12.2   Estimate Tracer Gas Injection Rate for the Given Span. To estimate the minimum and maximum tracer gas injection rate, assume a worst case capture efficiency of 80 percent, and calculate the tracer gas flow rate based on known or measured parameters. To estimate the minimum tracer gas injection rate, assume that the MML concentration (10 times the IR detection limit in this example) is desired at the measurement location. The following equation can be used to estimate the minimum tracer gas injection rate: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T-MIN</w:t>
      </w:r>
      <w:r w:rsidRPr="000F387B">
        <w:rPr>
          <w:rFonts w:ascii="Arial" w:eastAsia="Times New Roman" w:hAnsi="Arial" w:cs="Arial"/>
        </w:rPr>
        <w:t xml:space="preserve"> × 0.8)/Q</w:t>
      </w:r>
      <w:r w:rsidRPr="000F387B">
        <w:rPr>
          <w:rFonts w:ascii="Arial" w:eastAsia="Times New Roman" w:hAnsi="Arial" w:cs="Arial"/>
          <w:vertAlign w:val="subscript"/>
        </w:rPr>
        <w:t>E</w:t>
      </w:r>
      <w:r w:rsidRPr="000F387B">
        <w:rPr>
          <w:rFonts w:ascii="Arial" w:eastAsia="Times New Roman" w:hAnsi="Arial" w:cs="Arial"/>
        </w:rPr>
        <w:t>) × (C</w:t>
      </w:r>
      <w:r w:rsidRPr="000F387B">
        <w:rPr>
          <w:rFonts w:ascii="Arial" w:eastAsia="Times New Roman" w:hAnsi="Arial" w:cs="Arial"/>
          <w:vertAlign w:val="subscript"/>
        </w:rPr>
        <w:t>T</w:t>
      </w:r>
      <w:r w:rsidRPr="000F387B">
        <w:rPr>
          <w:rFonts w:ascii="Arial" w:eastAsia="Times New Roman" w:hAnsi="Arial" w:cs="Arial"/>
        </w:rPr>
        <w:t xml:space="preserve"> ÷ 100) × 10</w:t>
      </w:r>
      <w:r w:rsidRPr="000F387B">
        <w:rPr>
          <w:rFonts w:ascii="Arial" w:eastAsia="Times New Roman" w:hAnsi="Arial" w:cs="Arial"/>
          <w:vertAlign w:val="superscript"/>
        </w:rPr>
        <w:t>6</w:t>
      </w:r>
      <w:r w:rsidRPr="000F387B">
        <w:rPr>
          <w:rFonts w:ascii="Arial" w:eastAsia="Times New Roman" w:hAnsi="Arial" w:cs="Arial"/>
        </w:rPr>
        <w:t xml:space="preserve"> = MML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T-MIN</w:t>
      </w:r>
      <w:r w:rsidRPr="000F387B">
        <w:rPr>
          <w:rFonts w:ascii="Arial" w:eastAsia="Times New Roman" w:hAnsi="Arial" w:cs="Arial"/>
        </w:rPr>
        <w:t xml:space="preserve"> = 1.25 × MML × (Q</w:t>
      </w:r>
      <w:r w:rsidRPr="000F387B">
        <w:rPr>
          <w:rFonts w:ascii="Arial" w:eastAsia="Times New Roman" w:hAnsi="Arial" w:cs="Arial"/>
          <w:vertAlign w:val="subscript"/>
        </w:rPr>
        <w:t>E</w:t>
      </w: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 10</w:t>
      </w:r>
      <w:r w:rsidRPr="000F387B">
        <w:rPr>
          <w:rFonts w:ascii="Arial" w:eastAsia="Times New Roman" w:hAnsi="Arial" w:cs="Arial"/>
          <w:vertAlign w:val="superscript"/>
        </w:rPr>
        <w:t>−4</w:t>
      </w:r>
      <w:r w:rsidRPr="000F387B">
        <w:rPr>
          <w:rFonts w:ascii="Arial" w:eastAsia="Times New Roman" w:hAnsi="Arial" w:cs="Arial"/>
        </w:rPr>
        <w:t xml:space="preserve">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Where: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T-MIN</w:t>
      </w:r>
      <w:r w:rsidRPr="000F387B">
        <w:rPr>
          <w:rFonts w:ascii="Arial" w:eastAsia="Times New Roman" w:hAnsi="Arial" w:cs="Arial"/>
        </w:rPr>
        <w:t xml:space="preserve"> = minimum volumetric flow rate of tracer gas injected, standard cubic feet per minute (</w:t>
      </w:r>
      <w:proofErr w:type="spellStart"/>
      <w:r w:rsidRPr="000F387B">
        <w:rPr>
          <w:rFonts w:ascii="Arial" w:eastAsia="Times New Roman" w:hAnsi="Arial" w:cs="Arial"/>
        </w:rPr>
        <w:t>scfm</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E</w:t>
      </w:r>
      <w:r w:rsidRPr="000F387B">
        <w:rPr>
          <w:rFonts w:ascii="Arial" w:eastAsia="Times New Roman" w:hAnsi="Arial" w:cs="Arial"/>
        </w:rPr>
        <w:t xml:space="preserve"> = volumetric flow rate of exhaust gas, </w:t>
      </w:r>
      <w:proofErr w:type="spellStart"/>
      <w:r w:rsidRPr="000F387B">
        <w:rPr>
          <w:rFonts w:ascii="Arial" w:eastAsia="Times New Roman" w:hAnsi="Arial" w:cs="Arial"/>
        </w:rPr>
        <w:t>scfm</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xml:space="preserve"> = Tracer gas (SF</w:t>
      </w:r>
      <w:r w:rsidRPr="000F387B">
        <w:rPr>
          <w:rFonts w:ascii="Arial" w:eastAsia="Times New Roman" w:hAnsi="Arial" w:cs="Arial"/>
          <w:vertAlign w:val="subscript"/>
        </w:rPr>
        <w:t>6</w:t>
      </w:r>
      <w:r w:rsidRPr="000F387B">
        <w:rPr>
          <w:rFonts w:ascii="Arial" w:eastAsia="Times New Roman" w:hAnsi="Arial" w:cs="Arial"/>
        </w:rPr>
        <w:t xml:space="preserve">) concentration in gas blend, percent by volume;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MML = minimum measured level,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 10 × IR</w:t>
      </w:r>
      <w:r w:rsidRPr="000F387B">
        <w:rPr>
          <w:rFonts w:ascii="Arial" w:eastAsia="Times New Roman" w:hAnsi="Arial" w:cs="Arial"/>
          <w:vertAlign w:val="subscript"/>
        </w:rPr>
        <w:t>DL</w:t>
      </w:r>
      <w:r w:rsidRPr="000F387B">
        <w:rPr>
          <w:rFonts w:ascii="Arial" w:eastAsia="Times New Roman" w:hAnsi="Arial" w:cs="Arial"/>
        </w:rPr>
        <w:t xml:space="preserve"> (for this example);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IR</w:t>
      </w:r>
      <w:r w:rsidRPr="000F387B">
        <w:rPr>
          <w:rFonts w:ascii="Arial" w:eastAsia="Times New Roman" w:hAnsi="Arial" w:cs="Arial"/>
          <w:vertAlign w:val="subscript"/>
        </w:rPr>
        <w:t>DL</w:t>
      </w:r>
      <w:r w:rsidRPr="000F387B">
        <w:rPr>
          <w:rFonts w:ascii="Arial" w:eastAsia="Times New Roman" w:hAnsi="Arial" w:cs="Arial"/>
        </w:rPr>
        <w:t xml:space="preserve"> = IR detection limit, </w:t>
      </w:r>
      <w:proofErr w:type="spellStart"/>
      <w:r w:rsidRPr="000F387B">
        <w:rPr>
          <w:rFonts w:ascii="Arial" w:eastAsia="Times New Roman" w:hAnsi="Arial" w:cs="Arial"/>
        </w:rPr>
        <w:t>ppmv</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Standard conditions: 20 °C, 760 millimeters of mercury (mm Hg).</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To estimate the maximum tracer gas injection rate, assume that the span value is desired at the measurement location. The following equation can be used to estimate the maximum tracer gas injection rate: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T-MAX</w:t>
      </w:r>
      <w:r w:rsidRPr="000F387B">
        <w:rPr>
          <w:rFonts w:ascii="Arial" w:eastAsia="Times New Roman" w:hAnsi="Arial" w:cs="Arial"/>
        </w:rPr>
        <w:t xml:space="preserve"> × 0.8)/Q</w:t>
      </w:r>
      <w:r w:rsidRPr="000F387B">
        <w:rPr>
          <w:rFonts w:ascii="Arial" w:eastAsia="Times New Roman" w:hAnsi="Arial" w:cs="Arial"/>
          <w:vertAlign w:val="subscript"/>
        </w:rPr>
        <w:t>E</w:t>
      </w:r>
      <w:r w:rsidRPr="000F387B">
        <w:rPr>
          <w:rFonts w:ascii="Arial" w:eastAsia="Times New Roman" w:hAnsi="Arial" w:cs="Arial"/>
        </w:rPr>
        <w:t>) × (C</w:t>
      </w:r>
      <w:r w:rsidRPr="000F387B">
        <w:rPr>
          <w:rFonts w:ascii="Arial" w:eastAsia="Times New Roman" w:hAnsi="Arial" w:cs="Arial"/>
          <w:vertAlign w:val="subscript"/>
        </w:rPr>
        <w:t>T</w:t>
      </w:r>
      <w:r w:rsidRPr="000F387B">
        <w:rPr>
          <w:rFonts w:ascii="Arial" w:eastAsia="Times New Roman" w:hAnsi="Arial" w:cs="Arial"/>
        </w:rPr>
        <w:t xml:space="preserve"> ÷ 100) × 10</w:t>
      </w:r>
      <w:r w:rsidRPr="000F387B">
        <w:rPr>
          <w:rFonts w:ascii="Arial" w:eastAsia="Times New Roman" w:hAnsi="Arial" w:cs="Arial"/>
          <w:vertAlign w:val="superscript"/>
        </w:rPr>
        <w:t>6</w:t>
      </w:r>
      <w:r w:rsidRPr="000F387B">
        <w:rPr>
          <w:rFonts w:ascii="Arial" w:eastAsia="Times New Roman" w:hAnsi="Arial" w:cs="Arial"/>
        </w:rPr>
        <w:t xml:space="preserve"> = span value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T-MAX</w:t>
      </w:r>
      <w:r w:rsidRPr="000F387B">
        <w:rPr>
          <w:rFonts w:ascii="Arial" w:eastAsia="Times New Roman" w:hAnsi="Arial" w:cs="Arial"/>
        </w:rPr>
        <w:t xml:space="preserve"> = 1.25 × span value × (Q</w:t>
      </w:r>
      <w:r w:rsidRPr="000F387B">
        <w:rPr>
          <w:rFonts w:ascii="Arial" w:eastAsia="Times New Roman" w:hAnsi="Arial" w:cs="Arial"/>
          <w:vertAlign w:val="subscript"/>
        </w:rPr>
        <w:t>E</w:t>
      </w: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 10</w:t>
      </w:r>
      <w:r w:rsidRPr="000F387B">
        <w:rPr>
          <w:rFonts w:ascii="Arial" w:eastAsia="Times New Roman" w:hAnsi="Arial" w:cs="Arial"/>
          <w:vertAlign w:val="superscript"/>
        </w:rPr>
        <w:t>−4</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Where: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T-MAX</w:t>
      </w:r>
      <w:r w:rsidRPr="000F387B">
        <w:rPr>
          <w:rFonts w:ascii="Arial" w:eastAsia="Times New Roman" w:hAnsi="Arial" w:cs="Arial"/>
        </w:rPr>
        <w:t xml:space="preserve"> = maximum volumetric flow rate of tracer gas injected, </w:t>
      </w:r>
      <w:proofErr w:type="spellStart"/>
      <w:r w:rsidRPr="000F387B">
        <w:rPr>
          <w:rFonts w:ascii="Arial" w:eastAsia="Times New Roman" w:hAnsi="Arial" w:cs="Arial"/>
        </w:rPr>
        <w:t>scfm</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Span value = instrument span value, </w:t>
      </w:r>
      <w:proofErr w:type="spellStart"/>
      <w:r w:rsidRPr="000F387B">
        <w:rPr>
          <w:rFonts w:ascii="Arial" w:eastAsia="Times New Roman" w:hAnsi="Arial" w:cs="Arial"/>
        </w:rPr>
        <w:t>ppmv</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The following example illustrates this calculation procedure: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Find the range of volumetric flow rate of tracer gas to be injected when the following parameters are known:</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E</w:t>
      </w:r>
      <w:r w:rsidRPr="000F387B">
        <w:rPr>
          <w:rFonts w:ascii="Arial" w:eastAsia="Times New Roman" w:hAnsi="Arial" w:cs="Arial"/>
        </w:rPr>
        <w:t xml:space="preserve"> = 60,000 </w:t>
      </w:r>
      <w:proofErr w:type="spellStart"/>
      <w:r w:rsidRPr="000F387B">
        <w:rPr>
          <w:rFonts w:ascii="Arial" w:eastAsia="Times New Roman" w:hAnsi="Arial" w:cs="Arial"/>
        </w:rPr>
        <w:t>scfm</w:t>
      </w:r>
      <w:proofErr w:type="spellEnd"/>
      <w:r w:rsidRPr="000F387B">
        <w:rPr>
          <w:rFonts w:ascii="Arial" w:eastAsia="Times New Roman" w:hAnsi="Arial" w:cs="Arial"/>
        </w:rPr>
        <w:t xml:space="preserve"> (typical exhaust gas flow rate from an enclosure);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xml:space="preserve"> = 2 percent SF</w:t>
      </w:r>
      <w:r w:rsidRPr="000F387B">
        <w:rPr>
          <w:rFonts w:ascii="Arial" w:eastAsia="Times New Roman" w:hAnsi="Arial" w:cs="Arial"/>
          <w:vertAlign w:val="subscript"/>
        </w:rPr>
        <w:t>6</w:t>
      </w:r>
      <w:r w:rsidRPr="000F387B">
        <w:rPr>
          <w:rFonts w:ascii="Arial" w:eastAsia="Times New Roman" w:hAnsi="Arial" w:cs="Arial"/>
        </w:rPr>
        <w:t xml:space="preserve"> in nitrogen;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IR</w:t>
      </w:r>
      <w:r w:rsidRPr="000F387B">
        <w:rPr>
          <w:rFonts w:ascii="Arial" w:eastAsia="Times New Roman" w:hAnsi="Arial" w:cs="Arial"/>
          <w:vertAlign w:val="subscript"/>
        </w:rPr>
        <w:t>DL</w:t>
      </w:r>
      <w:r w:rsidRPr="000F387B">
        <w:rPr>
          <w:rFonts w:ascii="Arial" w:eastAsia="Times New Roman" w:hAnsi="Arial" w:cs="Arial"/>
        </w:rPr>
        <w:t xml:space="preserve"> = 0.01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(per manufacturer's specifications);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MML = 10 × IR</w:t>
      </w:r>
      <w:r w:rsidRPr="000F387B">
        <w:rPr>
          <w:rFonts w:ascii="Arial" w:eastAsia="Times New Roman" w:hAnsi="Arial" w:cs="Arial"/>
          <w:vertAlign w:val="subscript"/>
        </w:rPr>
        <w:t>DL</w:t>
      </w:r>
      <w:r w:rsidRPr="000F387B">
        <w:rPr>
          <w:rFonts w:ascii="Arial" w:eastAsia="Times New Roman" w:hAnsi="Arial" w:cs="Arial"/>
        </w:rPr>
        <w:t xml:space="preserve"> = 0.10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Span value = 0.40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w:t>
      </w:r>
      <w:r w:rsidRPr="000F387B">
        <w:rPr>
          <w:rFonts w:ascii="Arial" w:eastAsia="Times New Roman" w:hAnsi="Arial" w:cs="Arial"/>
        </w:rPr>
        <w:t xml:space="preserve"> </w:t>
      </w:r>
      <w:proofErr w:type="gramStart"/>
      <w:r w:rsidRPr="000F387B">
        <w:rPr>
          <w:rFonts w:ascii="Arial" w:eastAsia="Times New Roman" w:hAnsi="Arial" w:cs="Arial"/>
        </w:rPr>
        <w:t>= ?</w:t>
      </w:r>
      <w:proofErr w:type="gram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Minimum tracer gas volumetric flow rate: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T-MIN</w:t>
      </w:r>
      <w:r w:rsidRPr="000F387B">
        <w:rPr>
          <w:rFonts w:ascii="Arial" w:eastAsia="Times New Roman" w:hAnsi="Arial" w:cs="Arial"/>
        </w:rPr>
        <w:t xml:space="preserve"> = 1.25 × MML × (Q</w:t>
      </w:r>
      <w:r w:rsidRPr="000F387B">
        <w:rPr>
          <w:rFonts w:ascii="Arial" w:eastAsia="Times New Roman" w:hAnsi="Arial" w:cs="Arial"/>
          <w:vertAlign w:val="subscript"/>
        </w:rPr>
        <w:t>E</w:t>
      </w: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 10</w:t>
      </w:r>
      <w:r w:rsidRPr="000F387B">
        <w:rPr>
          <w:rFonts w:ascii="Arial" w:eastAsia="Times New Roman" w:hAnsi="Arial" w:cs="Arial"/>
          <w:vertAlign w:val="superscript"/>
        </w:rPr>
        <w:t>−4</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T-MIN</w:t>
      </w:r>
      <w:r w:rsidRPr="000F387B">
        <w:rPr>
          <w:rFonts w:ascii="Arial" w:eastAsia="Times New Roman" w:hAnsi="Arial" w:cs="Arial"/>
        </w:rPr>
        <w:t xml:space="preserve"> = 1.25 × 0.10 × (60,000/2) × 10</w:t>
      </w:r>
      <w:r w:rsidRPr="000F387B">
        <w:rPr>
          <w:rFonts w:ascii="Arial" w:eastAsia="Times New Roman" w:hAnsi="Arial" w:cs="Arial"/>
          <w:vertAlign w:val="superscript"/>
        </w:rPr>
        <w:t>−4</w:t>
      </w:r>
      <w:r w:rsidRPr="000F387B">
        <w:rPr>
          <w:rFonts w:ascii="Arial" w:eastAsia="Times New Roman" w:hAnsi="Arial" w:cs="Arial"/>
        </w:rPr>
        <w:t xml:space="preserve"> = 0.375 </w:t>
      </w:r>
      <w:proofErr w:type="spellStart"/>
      <w:r w:rsidRPr="000F387B">
        <w:rPr>
          <w:rFonts w:ascii="Arial" w:eastAsia="Times New Roman" w:hAnsi="Arial" w:cs="Arial"/>
        </w:rPr>
        <w:t>scfm</w:t>
      </w:r>
      <w:proofErr w:type="spellEnd"/>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Maximum tracer gas volumetric flow rate: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T-MAX</w:t>
      </w:r>
      <w:r w:rsidRPr="000F387B">
        <w:rPr>
          <w:rFonts w:ascii="Arial" w:eastAsia="Times New Roman" w:hAnsi="Arial" w:cs="Arial"/>
        </w:rPr>
        <w:t xml:space="preserve"> = 1.25 × span value × (Q</w:t>
      </w:r>
      <w:r w:rsidRPr="000F387B">
        <w:rPr>
          <w:rFonts w:ascii="Arial" w:eastAsia="Times New Roman" w:hAnsi="Arial" w:cs="Arial"/>
          <w:vertAlign w:val="subscript"/>
        </w:rPr>
        <w:t>E</w:t>
      </w:r>
      <w:r w:rsidRPr="000F387B">
        <w:rPr>
          <w:rFonts w:ascii="Arial" w:eastAsia="Times New Roman" w:hAnsi="Arial" w:cs="Arial"/>
        </w:rPr>
        <w:t>/C</w:t>
      </w:r>
      <w:r w:rsidRPr="000F387B">
        <w:rPr>
          <w:rFonts w:ascii="Arial" w:eastAsia="Times New Roman" w:hAnsi="Arial" w:cs="Arial"/>
          <w:vertAlign w:val="subscript"/>
        </w:rPr>
        <w:t>T</w:t>
      </w:r>
      <w:r w:rsidRPr="000F387B">
        <w:rPr>
          <w:rFonts w:ascii="Arial" w:eastAsia="Times New Roman" w:hAnsi="Arial" w:cs="Arial"/>
        </w:rPr>
        <w:t>) × 10</w:t>
      </w:r>
      <w:r w:rsidRPr="000F387B">
        <w:rPr>
          <w:rFonts w:ascii="Arial" w:eastAsia="Times New Roman" w:hAnsi="Arial" w:cs="Arial"/>
          <w:vertAlign w:val="superscript"/>
        </w:rPr>
        <w:t>−4</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Q</w:t>
      </w:r>
      <w:r w:rsidRPr="000F387B">
        <w:rPr>
          <w:rFonts w:ascii="Arial" w:eastAsia="Times New Roman" w:hAnsi="Arial" w:cs="Arial"/>
          <w:vertAlign w:val="subscript"/>
        </w:rPr>
        <w:t>T-MAX</w:t>
      </w:r>
      <w:r w:rsidRPr="000F387B">
        <w:rPr>
          <w:rFonts w:ascii="Arial" w:eastAsia="Times New Roman" w:hAnsi="Arial" w:cs="Arial"/>
        </w:rPr>
        <w:t xml:space="preserve"> = 1.25 × 0.40 × (60,000/2) × 10</w:t>
      </w:r>
      <w:r w:rsidRPr="000F387B">
        <w:rPr>
          <w:rFonts w:ascii="Arial" w:eastAsia="Times New Roman" w:hAnsi="Arial" w:cs="Arial"/>
          <w:vertAlign w:val="superscript"/>
        </w:rPr>
        <w:t>−4</w:t>
      </w:r>
      <w:r w:rsidRPr="000F387B">
        <w:rPr>
          <w:rFonts w:ascii="Arial" w:eastAsia="Times New Roman" w:hAnsi="Arial" w:cs="Arial"/>
        </w:rPr>
        <w:t xml:space="preserve"> = 1.5 </w:t>
      </w:r>
      <w:proofErr w:type="spellStart"/>
      <w:r w:rsidRPr="000F387B">
        <w:rPr>
          <w:rFonts w:ascii="Arial" w:eastAsia="Times New Roman" w:hAnsi="Arial" w:cs="Arial"/>
        </w:rPr>
        <w:t>scfm</w:t>
      </w:r>
      <w:proofErr w:type="spellEnd"/>
      <w:r w:rsidRPr="000F387B">
        <w:rPr>
          <w:rFonts w:ascii="Arial" w:eastAsia="Times New Roman" w:hAnsi="Arial" w:cs="Arial"/>
        </w:rPr>
        <w:t xml:space="preserve"> </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In this example, the estimated total volumetric flow rate of the two percent SF</w:t>
      </w:r>
      <w:r w:rsidRPr="000F387B">
        <w:rPr>
          <w:rFonts w:ascii="Arial" w:eastAsia="Times New Roman" w:hAnsi="Arial" w:cs="Arial"/>
          <w:vertAlign w:val="subscript"/>
        </w:rPr>
        <w:t>6</w:t>
      </w:r>
      <w:r w:rsidRPr="000F387B">
        <w:rPr>
          <w:rFonts w:ascii="Arial" w:eastAsia="Times New Roman" w:hAnsi="Arial" w:cs="Arial"/>
        </w:rPr>
        <w:t xml:space="preserve"> tracer gas injected through the manifolds in the enclosure lies between 0.375 and 1.5 </w:t>
      </w:r>
      <w:proofErr w:type="spellStart"/>
      <w:r w:rsidRPr="000F387B">
        <w:rPr>
          <w:rFonts w:ascii="Arial" w:eastAsia="Times New Roman" w:hAnsi="Arial" w:cs="Arial"/>
        </w:rPr>
        <w:t>scfm</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12.3   Calibration Error. Calculate the calibration error for the low-level and mid-level calibration gases using the following equation:</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Err = |</w:t>
      </w:r>
      <w:proofErr w:type="spellStart"/>
      <w:r w:rsidRPr="000F387B">
        <w:rPr>
          <w:rFonts w:ascii="Arial" w:eastAsia="Times New Roman" w:hAnsi="Arial" w:cs="Arial"/>
        </w:rPr>
        <w:t>C</w:t>
      </w:r>
      <w:r w:rsidRPr="000F387B">
        <w:rPr>
          <w:rFonts w:ascii="Arial" w:eastAsia="Times New Roman" w:hAnsi="Arial" w:cs="Arial"/>
          <w:vertAlign w:val="subscript"/>
        </w:rPr>
        <w:t>std</w:t>
      </w:r>
      <w:r w:rsidRPr="000F387B">
        <w:rPr>
          <w:rFonts w:ascii="Arial" w:eastAsia="Times New Roman" w:hAnsi="Arial" w:cs="Arial"/>
        </w:rPr>
        <w:t>−C</w:t>
      </w:r>
      <w:r w:rsidRPr="000F387B">
        <w:rPr>
          <w:rFonts w:ascii="Arial" w:eastAsia="Times New Roman" w:hAnsi="Arial" w:cs="Arial"/>
          <w:vertAlign w:val="subscript"/>
        </w:rPr>
        <w:t>meas</w:t>
      </w:r>
      <w:r w:rsidRPr="000F387B">
        <w:rPr>
          <w:rFonts w:ascii="Arial" w:eastAsia="Times New Roman" w:hAnsi="Arial" w:cs="Arial"/>
        </w:rPr>
        <w:t>verbar</w:t>
      </w:r>
      <w:proofErr w:type="spellEnd"/>
      <w:r w:rsidRPr="000F387B">
        <w:rPr>
          <w:rFonts w:ascii="Arial" w:eastAsia="Times New Roman" w:hAnsi="Arial" w:cs="Arial"/>
        </w:rPr>
        <w:t xml:space="preserve">; ÷ </w:t>
      </w:r>
      <w:proofErr w:type="spellStart"/>
      <w:r w:rsidRPr="000F387B">
        <w:rPr>
          <w:rFonts w:ascii="Arial" w:eastAsia="Times New Roman" w:hAnsi="Arial" w:cs="Arial"/>
        </w:rPr>
        <w:t>C</w:t>
      </w:r>
      <w:r w:rsidRPr="000F387B">
        <w:rPr>
          <w:rFonts w:ascii="Arial" w:eastAsia="Times New Roman" w:hAnsi="Arial" w:cs="Arial"/>
          <w:vertAlign w:val="subscript"/>
        </w:rPr>
        <w:t>std</w:t>
      </w:r>
      <w:proofErr w:type="spellEnd"/>
      <w:r w:rsidRPr="000F387B">
        <w:rPr>
          <w:rFonts w:ascii="Arial" w:eastAsia="Times New Roman" w:hAnsi="Arial" w:cs="Arial"/>
        </w:rPr>
        <w:t xml:space="preserve"> × 100</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Where: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Err = calibration error, percent;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w:t>
      </w:r>
      <w:r w:rsidRPr="000F387B">
        <w:rPr>
          <w:rFonts w:ascii="Arial" w:eastAsia="Times New Roman" w:hAnsi="Arial" w:cs="Arial"/>
          <w:vertAlign w:val="subscript"/>
        </w:rPr>
        <w:t>std</w:t>
      </w:r>
      <w:proofErr w:type="spellEnd"/>
      <w:r w:rsidRPr="000F387B">
        <w:rPr>
          <w:rFonts w:ascii="Arial" w:eastAsia="Times New Roman" w:hAnsi="Arial" w:cs="Arial"/>
        </w:rPr>
        <w:t xml:space="preserve"> = low-level or mid-level calibration gas value,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w:t>
      </w:r>
      <w:r w:rsidRPr="000F387B">
        <w:rPr>
          <w:rFonts w:ascii="Arial" w:eastAsia="Times New Roman" w:hAnsi="Arial" w:cs="Arial"/>
          <w:vertAlign w:val="subscript"/>
        </w:rPr>
        <w:t>meas</w:t>
      </w:r>
      <w:proofErr w:type="spellEnd"/>
      <w:r w:rsidRPr="000F387B">
        <w:rPr>
          <w:rFonts w:ascii="Arial" w:eastAsia="Times New Roman" w:hAnsi="Arial" w:cs="Arial"/>
        </w:rPr>
        <w:t xml:space="preserve"> = measured response to low-level or mid-level concentration gas, </w:t>
      </w:r>
      <w:proofErr w:type="spellStart"/>
      <w:r w:rsidRPr="000F387B">
        <w:rPr>
          <w:rFonts w:ascii="Arial" w:eastAsia="Times New Roman" w:hAnsi="Arial" w:cs="Arial"/>
        </w:rPr>
        <w:t>ppmv</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12.4   Calibration Drift. Calculate the calibration drift for the zero and low-level calibration gases using the following equation:</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D = |</w:t>
      </w:r>
      <w:proofErr w:type="spellStart"/>
      <w:r w:rsidRPr="000F387B">
        <w:rPr>
          <w:rFonts w:ascii="Arial" w:eastAsia="Times New Roman" w:hAnsi="Arial" w:cs="Arial"/>
        </w:rPr>
        <w:t>verbar</w:t>
      </w:r>
      <w:proofErr w:type="gramStart"/>
      <w:r w:rsidRPr="000F387B">
        <w:rPr>
          <w:rFonts w:ascii="Arial" w:eastAsia="Times New Roman" w:hAnsi="Arial" w:cs="Arial"/>
        </w:rPr>
        <w:t>;C</w:t>
      </w:r>
      <w:r w:rsidRPr="000F387B">
        <w:rPr>
          <w:rFonts w:ascii="Arial" w:eastAsia="Times New Roman" w:hAnsi="Arial" w:cs="Arial"/>
          <w:vertAlign w:val="subscript"/>
        </w:rPr>
        <w:t>initial</w:t>
      </w:r>
      <w:proofErr w:type="spellEnd"/>
      <w:proofErr w:type="gramEnd"/>
      <w:r w:rsidRPr="000F387B">
        <w:rPr>
          <w:rFonts w:ascii="Arial" w:eastAsia="Times New Roman" w:hAnsi="Arial" w:cs="Arial"/>
        </w:rPr>
        <w:t xml:space="preserve"> − </w:t>
      </w:r>
      <w:proofErr w:type="spellStart"/>
      <w:r w:rsidRPr="000F387B">
        <w:rPr>
          <w:rFonts w:ascii="Arial" w:eastAsia="Times New Roman" w:hAnsi="Arial" w:cs="Arial"/>
        </w:rPr>
        <w:t>C</w:t>
      </w:r>
      <w:r w:rsidRPr="000F387B">
        <w:rPr>
          <w:rFonts w:ascii="Arial" w:eastAsia="Times New Roman" w:hAnsi="Arial" w:cs="Arial"/>
          <w:vertAlign w:val="subscript"/>
        </w:rPr>
        <w:t>final</w:t>
      </w:r>
      <w:proofErr w:type="spellEnd"/>
      <w:r w:rsidRPr="000F387B">
        <w:rPr>
          <w:rFonts w:ascii="Arial" w:eastAsia="Times New Roman" w:hAnsi="Arial" w:cs="Arial"/>
        </w:rPr>
        <w:t xml:space="preserve"> |</w:t>
      </w:r>
      <w:proofErr w:type="spellStart"/>
      <w:r w:rsidRPr="000F387B">
        <w:rPr>
          <w:rFonts w:ascii="Arial" w:eastAsia="Times New Roman" w:hAnsi="Arial" w:cs="Arial"/>
        </w:rPr>
        <w:t>verbar</w:t>
      </w:r>
      <w:proofErr w:type="spellEnd"/>
      <w:r w:rsidRPr="000F387B">
        <w:rPr>
          <w:rFonts w:ascii="Arial" w:eastAsia="Times New Roman" w:hAnsi="Arial" w:cs="Arial"/>
        </w:rPr>
        <w:t xml:space="preserve">; ÷ </w:t>
      </w:r>
      <w:proofErr w:type="spellStart"/>
      <w:r w:rsidRPr="000F387B">
        <w:rPr>
          <w:rFonts w:ascii="Arial" w:eastAsia="Times New Roman" w:hAnsi="Arial" w:cs="Arial"/>
        </w:rPr>
        <w:t>C</w:t>
      </w:r>
      <w:r w:rsidRPr="000F387B">
        <w:rPr>
          <w:rFonts w:ascii="Arial" w:eastAsia="Times New Roman" w:hAnsi="Arial" w:cs="Arial"/>
          <w:vertAlign w:val="subscript"/>
        </w:rPr>
        <w:t>span</w:t>
      </w:r>
      <w:proofErr w:type="spellEnd"/>
      <w:r w:rsidRPr="000F387B">
        <w:rPr>
          <w:rFonts w:ascii="Arial" w:eastAsia="Times New Roman" w:hAnsi="Arial" w:cs="Arial"/>
        </w:rPr>
        <w:t xml:space="preserve"> × 100</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Where: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D = calibration drift, percent;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w:t>
      </w:r>
      <w:r w:rsidRPr="000F387B">
        <w:rPr>
          <w:rFonts w:ascii="Arial" w:eastAsia="Times New Roman" w:hAnsi="Arial" w:cs="Arial"/>
          <w:vertAlign w:val="subscript"/>
        </w:rPr>
        <w:t>initial</w:t>
      </w:r>
      <w:proofErr w:type="spellEnd"/>
      <w:r w:rsidRPr="000F387B">
        <w:rPr>
          <w:rFonts w:ascii="Arial" w:eastAsia="Times New Roman" w:hAnsi="Arial" w:cs="Arial"/>
        </w:rPr>
        <w:t xml:space="preserve"> = low-level or mid-level calibration gas value measured before test run,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w:t>
      </w:r>
      <w:r w:rsidRPr="000F387B">
        <w:rPr>
          <w:rFonts w:ascii="Arial" w:eastAsia="Times New Roman" w:hAnsi="Arial" w:cs="Arial"/>
          <w:vertAlign w:val="subscript"/>
        </w:rPr>
        <w:t>final</w:t>
      </w:r>
      <w:proofErr w:type="spellEnd"/>
      <w:r w:rsidRPr="000F387B">
        <w:rPr>
          <w:rFonts w:ascii="Arial" w:eastAsia="Times New Roman" w:hAnsi="Arial" w:cs="Arial"/>
        </w:rPr>
        <w:t xml:space="preserve"> = low-level or mid-level calibration gas value measured after test run, </w:t>
      </w:r>
      <w:proofErr w:type="spellStart"/>
      <w:r w:rsidRPr="000F387B">
        <w:rPr>
          <w:rFonts w:ascii="Arial" w:eastAsia="Times New Roman" w:hAnsi="Arial" w:cs="Arial"/>
        </w:rPr>
        <w:t>ppmv</w:t>
      </w:r>
      <w:proofErr w:type="spellEnd"/>
      <w:r w:rsidRPr="000F387B">
        <w:rPr>
          <w:rFonts w:ascii="Arial" w:eastAsia="Times New Roman" w:hAnsi="Arial" w:cs="Arial"/>
        </w:rPr>
        <w:t xml:space="preserve">; </w:t>
      </w:r>
    </w:p>
    <w:p w:rsidR="000F387B" w:rsidRPr="000F387B" w:rsidRDefault="000F387B" w:rsidP="000F387B">
      <w:pPr>
        <w:spacing w:before="200" w:after="100" w:line="240" w:lineRule="auto"/>
        <w:ind w:left="960" w:hanging="960"/>
        <w:rPr>
          <w:rFonts w:ascii="Arial" w:eastAsia="Times New Roman" w:hAnsi="Arial" w:cs="Arial"/>
        </w:rPr>
      </w:pPr>
      <w:proofErr w:type="spellStart"/>
      <w:r w:rsidRPr="000F387B">
        <w:rPr>
          <w:rFonts w:ascii="Arial" w:eastAsia="Times New Roman" w:hAnsi="Arial" w:cs="Arial"/>
        </w:rPr>
        <w:t>C</w:t>
      </w:r>
      <w:r w:rsidRPr="000F387B">
        <w:rPr>
          <w:rFonts w:ascii="Arial" w:eastAsia="Times New Roman" w:hAnsi="Arial" w:cs="Arial"/>
          <w:vertAlign w:val="subscript"/>
        </w:rPr>
        <w:t>span</w:t>
      </w:r>
      <w:proofErr w:type="spellEnd"/>
      <w:r w:rsidRPr="000F387B">
        <w:rPr>
          <w:rFonts w:ascii="Arial" w:eastAsia="Times New Roman" w:hAnsi="Arial" w:cs="Arial"/>
        </w:rPr>
        <w:t xml:space="preserve"> = span value, </w:t>
      </w:r>
      <w:proofErr w:type="spellStart"/>
      <w:r w:rsidRPr="000F387B">
        <w:rPr>
          <w:rFonts w:ascii="Arial" w:eastAsia="Times New Roman" w:hAnsi="Arial" w:cs="Arial"/>
        </w:rPr>
        <w:t>ppmv</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12.5   Calculate Capture Efficiency. The equation to calculate enclosure capture efficiency is provided below:</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CE = (SF</w:t>
      </w:r>
      <w:r w:rsidRPr="000F387B">
        <w:rPr>
          <w:rFonts w:ascii="Arial" w:eastAsia="Times New Roman" w:hAnsi="Arial" w:cs="Arial"/>
          <w:vertAlign w:val="subscript"/>
        </w:rPr>
        <w:t>6-CD</w:t>
      </w:r>
      <w:r w:rsidRPr="000F387B">
        <w:rPr>
          <w:rFonts w:ascii="Arial" w:eastAsia="Times New Roman" w:hAnsi="Arial" w:cs="Arial"/>
        </w:rPr>
        <w:t xml:space="preserve"> ÷ SF</w:t>
      </w:r>
      <w:r w:rsidRPr="000F387B">
        <w:rPr>
          <w:rFonts w:ascii="Arial" w:eastAsia="Times New Roman" w:hAnsi="Arial" w:cs="Arial"/>
          <w:vertAlign w:val="subscript"/>
        </w:rPr>
        <w:t>6-INJ</w:t>
      </w:r>
      <w:r w:rsidRPr="000F387B">
        <w:rPr>
          <w:rFonts w:ascii="Arial" w:eastAsia="Times New Roman" w:hAnsi="Arial" w:cs="Arial"/>
        </w:rPr>
        <w:t xml:space="preserve">) × 100 </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Where:</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 xml:space="preserve">CE = capture efficiency;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SF</w:t>
      </w:r>
      <w:r w:rsidRPr="000F387B">
        <w:rPr>
          <w:rFonts w:ascii="Arial" w:eastAsia="Times New Roman" w:hAnsi="Arial" w:cs="Arial"/>
          <w:vertAlign w:val="subscript"/>
        </w:rPr>
        <w:t>6-CD</w:t>
      </w:r>
      <w:r w:rsidRPr="000F387B">
        <w:rPr>
          <w:rFonts w:ascii="Arial" w:eastAsia="Times New Roman" w:hAnsi="Arial" w:cs="Arial"/>
        </w:rPr>
        <w:t xml:space="preserve"> = mass of SF</w:t>
      </w:r>
      <w:r w:rsidRPr="000F387B">
        <w:rPr>
          <w:rFonts w:ascii="Arial" w:eastAsia="Times New Roman" w:hAnsi="Arial" w:cs="Arial"/>
          <w:vertAlign w:val="subscript"/>
        </w:rPr>
        <w:t>6</w:t>
      </w:r>
      <w:r w:rsidRPr="000F387B">
        <w:rPr>
          <w:rFonts w:ascii="Arial" w:eastAsia="Times New Roman" w:hAnsi="Arial" w:cs="Arial"/>
        </w:rPr>
        <w:t xml:space="preserve"> measured at the inlet to the CD; </w:t>
      </w:r>
    </w:p>
    <w:p w:rsidR="000F387B" w:rsidRPr="000F387B" w:rsidRDefault="000F387B" w:rsidP="000F387B">
      <w:pPr>
        <w:spacing w:before="200" w:after="100" w:line="240" w:lineRule="auto"/>
        <w:ind w:left="960" w:hanging="960"/>
        <w:rPr>
          <w:rFonts w:ascii="Arial" w:eastAsia="Times New Roman" w:hAnsi="Arial" w:cs="Arial"/>
        </w:rPr>
      </w:pPr>
      <w:r w:rsidRPr="000F387B">
        <w:rPr>
          <w:rFonts w:ascii="Arial" w:eastAsia="Times New Roman" w:hAnsi="Arial" w:cs="Arial"/>
        </w:rPr>
        <w:t>SF</w:t>
      </w:r>
      <w:r w:rsidRPr="000F387B">
        <w:rPr>
          <w:rFonts w:ascii="Arial" w:eastAsia="Times New Roman" w:hAnsi="Arial" w:cs="Arial"/>
          <w:vertAlign w:val="subscript"/>
        </w:rPr>
        <w:t>6-INJ</w:t>
      </w:r>
      <w:r w:rsidRPr="000F387B">
        <w:rPr>
          <w:rFonts w:ascii="Arial" w:eastAsia="Times New Roman" w:hAnsi="Arial" w:cs="Arial"/>
        </w:rPr>
        <w:t xml:space="preserve"> = mass of SF</w:t>
      </w:r>
      <w:r w:rsidRPr="000F387B">
        <w:rPr>
          <w:rFonts w:ascii="Arial" w:eastAsia="Times New Roman" w:hAnsi="Arial" w:cs="Arial"/>
          <w:vertAlign w:val="subscript"/>
        </w:rPr>
        <w:t>6</w:t>
      </w:r>
      <w:r w:rsidRPr="000F387B">
        <w:rPr>
          <w:rFonts w:ascii="Arial" w:eastAsia="Times New Roman" w:hAnsi="Arial" w:cs="Arial"/>
        </w:rPr>
        <w:t xml:space="preserve"> injected from the tracer source into the enclosure.</w:t>
      </w:r>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Calculate the CE for each of the initial three test runs. Then follow the procedures outlined in section 12.6 to calculate the overall capture efficiency.</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12.6   Calculate Overall Capture Efficiency. After calculating the capture efficiency for each of the initial three test runs, follow the procedures in 40 CFR part 63, subpart KK, appendix A, to determine if the results of the testing can be used in determining compliance with the requirements of the rule. There are two methods that can be used: the DQO and LCL methods. The DQO method is described in section 3 of 40 CFR part 63, subpart KK, appendix A, and provides a measure of the precision of the capture efficiency testing conducted. Section 3 of 40 CFR part 63, subpart KK, appendix A, provides an example calculation using results from a facility. If the DQO criteria are met using the first set of three test runs, then the facility can use the average capture efficiency of these test results to determine the capture efficiency of the enclosure. If the DQO criteria are not met, then the facility can conduct another set of three runs and run the DQO analysis again using the results from the six runs </w:t>
      </w:r>
      <w:r w:rsidRPr="000F387B">
        <w:rPr>
          <w:rFonts w:ascii="Arial" w:eastAsia="Times New Roman" w:hAnsi="Arial" w:cs="Arial"/>
          <w:i/>
          <w:iCs/>
        </w:rPr>
        <w:t>OR</w:t>
      </w:r>
      <w:r w:rsidRPr="000F387B">
        <w:rPr>
          <w:rFonts w:ascii="Arial" w:eastAsia="Times New Roman" w:hAnsi="Arial" w:cs="Arial"/>
        </w:rPr>
        <w:t xml:space="preserve"> the facility can elect to use the LCL approach.</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The LCL method is described in section 4 of 40 CFR part 63, subpart KK, appendix A, and provides sources that may be performing much better than their regulatory requirement, a screening option by which they can demonstrate compliance. The LCL approach compares the 80 percent lower confidence limit for the mean measured CE value to the applicable regulatory requirement. If the LCL capture efficiency is higher than the applicable limit, then the facility is in initial compliance and would use the LCL capture efficiency as the capture efficiency to determine compliance. If the LCL capture efficiency is lower than the applicable limit, then the facility must perform additional test runs and re-run the DQO or LCL analysis.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13.0   Method Performance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13.1   Measurement System Performance Specifications.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13.1.1   Zero Drift. Less than ±3 percent of the span value.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13.1.2   Calibration Drift. Less than ±3 percent of the span value.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13.1.3   Calibration Error. Less than ±5 percent of the calibration gas value.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13.2   Flow Measurement Specifications. The mass flow, volumetric flow, or critical orifice control meter used should have an accuracy of greater than ±5 percent at the flow rate used.</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13.3   Calibration and Tracer Gas Specifications. The manufacturer of the calibration and tracer gases should provide a recommended shelf life for each calibration gas cylinder over which the concentration does not change more than ±2 percent from the certified value.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 xml:space="preserve">14.0   Pollution Prevention [Reserved] </w:t>
      </w:r>
    </w:p>
    <w:p w:rsidR="000F387B" w:rsidRPr="000F387B" w:rsidRDefault="000F387B" w:rsidP="000F387B">
      <w:pPr>
        <w:spacing w:before="200" w:after="100" w:line="240" w:lineRule="auto"/>
        <w:outlineLvl w:val="1"/>
        <w:rPr>
          <w:rFonts w:ascii="Arial" w:eastAsia="Times New Roman" w:hAnsi="Arial" w:cs="Arial"/>
          <w:i/>
          <w:iCs/>
        </w:rPr>
      </w:pPr>
      <w:r w:rsidRPr="000F387B">
        <w:rPr>
          <w:rFonts w:ascii="Arial" w:eastAsia="Times New Roman" w:hAnsi="Arial" w:cs="Arial"/>
          <w:i/>
          <w:iCs/>
        </w:rPr>
        <w:t xml:space="preserve">15.0   Waste Management [Reserved] </w:t>
      </w:r>
    </w:p>
    <w:p w:rsidR="000F387B" w:rsidRPr="000F387B" w:rsidRDefault="000F387B" w:rsidP="000F387B">
      <w:pPr>
        <w:spacing w:before="200" w:after="100" w:line="240" w:lineRule="auto"/>
        <w:outlineLvl w:val="1"/>
        <w:rPr>
          <w:rFonts w:ascii="Arial" w:eastAsia="Times New Roman" w:hAnsi="Arial" w:cs="Arial"/>
          <w:i/>
          <w:iCs/>
        </w:rPr>
      </w:pPr>
      <w:r w:rsidRPr="000F387B">
        <w:rPr>
          <w:rFonts w:ascii="Arial" w:eastAsia="Times New Roman" w:hAnsi="Arial" w:cs="Arial"/>
          <w:i/>
          <w:iCs/>
        </w:rPr>
        <w:t>16.0   References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1. 40 CFR part 60, appendix A, EPA Method 1—Sample and velocity traverses for stationary sources.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2. 40 CFR part 60, appendix A, EPA Method 2—Determination of stack gas velocity and volumetric flow rate.</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3. 40 CFR part 60, appendix A, EPA Method 3—Gas analysis for the determination of dry molecular weight.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4. 40 CFR part 60, appendix A, EPA Method 4—Determination of moisture content in stack gases.</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 xml:space="preserve">5. SEMI F15-93 Test Method for Enclosures Using Sulfur Hexafluoride Tracer Gas and Gas </w:t>
      </w:r>
      <w:proofErr w:type="spellStart"/>
      <w:r w:rsidRPr="000F387B">
        <w:rPr>
          <w:rFonts w:ascii="Arial" w:eastAsia="Times New Roman" w:hAnsi="Arial" w:cs="Arial"/>
        </w:rPr>
        <w:t>Chromotography</w:t>
      </w:r>
      <w:proofErr w:type="spellEnd"/>
      <w:r w:rsidRPr="000F387B">
        <w:rPr>
          <w:rFonts w:ascii="Arial" w:eastAsia="Times New Roman" w:hAnsi="Arial" w:cs="Arial"/>
        </w:rPr>
        <w:t>.</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6. Memorandum from John S. Seitz, Director, Office of Air Quality Planning and Standards, to EPA Regional Directors, Revised Capture Efficiency Guidance for Control of Volatile Organic Compound Emissions, February 7, 1995. (That memorandum contains an attached technical document from Candace Sorrell, Emission Monitoring and Analysis Division, “Guidelines for Determining Capture Efficiency,” January 9, 1994).</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7. Technical Systems Audit of Testing at Plant “C,” EPA-454/R-00-26, May 2000.</w:t>
      </w:r>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rPr>
        <w:t>8. Material Safety Data Sheet for SF</w:t>
      </w:r>
      <w:r w:rsidRPr="000F387B">
        <w:rPr>
          <w:rFonts w:ascii="Arial" w:eastAsia="Times New Roman" w:hAnsi="Arial" w:cs="Arial"/>
          <w:vertAlign w:val="subscript"/>
        </w:rPr>
        <w:t>6</w:t>
      </w:r>
      <w:r w:rsidRPr="000F387B">
        <w:rPr>
          <w:rFonts w:ascii="Arial" w:eastAsia="Times New Roman" w:hAnsi="Arial" w:cs="Arial"/>
        </w:rPr>
        <w:t xml:space="preserve"> Air Products and Chemicals, Inc. Website: </w:t>
      </w:r>
      <w:r w:rsidRPr="000F387B">
        <w:rPr>
          <w:rFonts w:ascii="Arial" w:eastAsia="Times New Roman" w:hAnsi="Arial" w:cs="Arial"/>
          <w:i/>
          <w:iCs/>
        </w:rPr>
        <w:t>www3.airproducts.com.</w:t>
      </w:r>
      <w:r w:rsidRPr="000F387B">
        <w:rPr>
          <w:rFonts w:ascii="Arial" w:eastAsia="Times New Roman" w:hAnsi="Arial" w:cs="Arial"/>
        </w:rPr>
        <w:t xml:space="preserve"> October 2001. </w:t>
      </w:r>
    </w:p>
    <w:p w:rsidR="000F387B" w:rsidRPr="000F387B" w:rsidRDefault="000F387B" w:rsidP="000F387B">
      <w:pPr>
        <w:spacing w:before="200" w:after="100" w:line="240" w:lineRule="auto"/>
        <w:outlineLvl w:val="0"/>
        <w:rPr>
          <w:rFonts w:ascii="Arial" w:eastAsia="Times New Roman" w:hAnsi="Arial" w:cs="Arial"/>
          <w:smallCaps/>
          <w:kern w:val="36"/>
        </w:rPr>
      </w:pPr>
      <w:r w:rsidRPr="000F387B">
        <w:rPr>
          <w:rFonts w:ascii="Arial" w:eastAsia="Times New Roman" w:hAnsi="Arial" w:cs="Arial"/>
          <w:smallCaps/>
          <w:kern w:val="36"/>
        </w:rPr>
        <w:t xml:space="preserve">17.0   Tables, Diagrams, Flowcharts, and Validation Data </w:t>
      </w:r>
    </w:p>
    <w:p w:rsidR="000F387B" w:rsidRPr="000F387B" w:rsidRDefault="000F387B" w:rsidP="000F387B">
      <w:pPr>
        <w:spacing w:before="100" w:beforeAutospacing="1" w:after="100" w:afterAutospacing="1" w:line="240" w:lineRule="auto"/>
        <w:ind w:firstLine="480"/>
        <w:rPr>
          <w:rFonts w:ascii="Arial" w:eastAsia="Times New Roman" w:hAnsi="Arial" w:cs="Arial"/>
          <w:b/>
          <w:bCs/>
          <w:smallCaps/>
        </w:rPr>
      </w:pPr>
      <w:r w:rsidRPr="000F387B">
        <w:rPr>
          <w:rFonts w:ascii="Arial" w:eastAsia="Times New Roman" w:hAnsi="Arial" w:cs="Arial"/>
          <w:b/>
          <w:bCs/>
          <w:smallCaps/>
        </w:rPr>
        <w:t xml:space="preserve">Table 1 to Appendix A—Summary of Critical Physical Measurements for Enclosure Testing </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2057"/>
        <w:gridCol w:w="2434"/>
        <w:gridCol w:w="2621"/>
        <w:gridCol w:w="2232"/>
      </w:tblGrid>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Measurement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Measurement instrumentation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Measurement frequency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0F387B" w:rsidRPr="000F387B" w:rsidRDefault="000F387B" w:rsidP="000F387B">
            <w:pPr>
              <w:spacing w:after="0" w:line="240" w:lineRule="auto"/>
              <w:rPr>
                <w:rFonts w:ascii="Arial" w:eastAsia="Times New Roman" w:hAnsi="Arial" w:cs="Arial"/>
                <w:b/>
                <w:bCs/>
              </w:rPr>
            </w:pPr>
            <w:r w:rsidRPr="000F387B">
              <w:rPr>
                <w:rFonts w:ascii="Arial" w:eastAsia="Times New Roman" w:hAnsi="Arial" w:cs="Arial"/>
                <w:b/>
                <w:bCs/>
              </w:rPr>
              <w:t xml:space="preserve">Measurement site </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Tracer gas injection rate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Mass flow meter, volumetric flow meter or critical orifice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Continuous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Injection manifolds (cylinder gas).</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Tracer gas concentration at control device inlet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Infrared Spectrometer or GC/ECD</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Continuous (at least one reading per minute) for a minimum of 20 minutes</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Inlet duct to the control device (outlet duct of enclosure).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Volumetric air flow rate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EPA Methods 1, 2, 3, 4 (40 CFR part 60, appendix A)</w:t>
            </w:r>
            <w:r w:rsidRPr="000F387B">
              <w:rPr>
                <w:rFonts w:ascii="Arial" w:eastAsia="Times New Roman" w:hAnsi="Arial" w:cs="Arial"/>
              </w:rPr>
              <w:br/>
            </w:r>
            <w:r w:rsidRPr="000F387B">
              <w:rPr>
                <w:rFonts w:ascii="Arial Unicode MS" w:eastAsia="Arial Unicode MS" w:hAnsi="Arial Unicode MS" w:cs="Arial Unicode MS" w:hint="eastAsia"/>
              </w:rPr>
              <w:t>•</w:t>
            </w:r>
            <w:r w:rsidRPr="000F387B">
              <w:rPr>
                <w:rFonts w:ascii="Arial" w:eastAsia="Times New Roman" w:hAnsi="Arial" w:cs="Arial"/>
              </w:rPr>
              <w:t>  Velocity sensor (Manometer/Pitot tube)</w:t>
            </w:r>
            <w:r w:rsidRPr="000F387B">
              <w:rPr>
                <w:rFonts w:ascii="Arial" w:eastAsia="Times New Roman" w:hAnsi="Arial" w:cs="Arial"/>
              </w:rPr>
              <w:br/>
            </w:r>
            <w:r w:rsidRPr="000F387B">
              <w:rPr>
                <w:rFonts w:ascii="Arial Unicode MS" w:eastAsia="Arial Unicode MS" w:hAnsi="Arial Unicode MS" w:cs="Arial Unicode MS" w:hint="eastAsia"/>
              </w:rPr>
              <w:t>•</w:t>
            </w:r>
            <w:r w:rsidRPr="000F387B">
              <w:rPr>
                <w:rFonts w:ascii="Arial" w:eastAsia="Times New Roman" w:hAnsi="Arial" w:cs="Arial"/>
              </w:rPr>
              <w:t>  Thermocouple</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Each test run for velocity (minimum); Daily for moisture and molecular weight</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Inlet duct to the control device (outlet duct of enclosure).</w:t>
            </w: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Unicode MS" w:eastAsia="Arial Unicode MS" w:hAnsi="Arial Unicode MS" w:cs="Arial Unicode MS" w:hint="eastAsia"/>
              </w:rPr>
              <w:t>•</w:t>
            </w:r>
            <w:r w:rsidRPr="000F387B">
              <w:rPr>
                <w:rFonts w:ascii="Arial" w:eastAsia="Times New Roman" w:hAnsi="Arial" w:cs="Arial"/>
              </w:rPr>
              <w:t xml:space="preserve">  Midget </w:t>
            </w:r>
            <w:proofErr w:type="spellStart"/>
            <w:r w:rsidRPr="000F387B">
              <w:rPr>
                <w:rFonts w:ascii="Arial" w:eastAsia="Times New Roman" w:hAnsi="Arial" w:cs="Arial"/>
              </w:rPr>
              <w:t>Impinger</w:t>
            </w:r>
            <w:proofErr w:type="spellEnd"/>
            <w:r w:rsidRPr="000F387B">
              <w:rPr>
                <w:rFonts w:ascii="Arial" w:eastAsia="Times New Roman" w:hAnsi="Arial" w:cs="Arial"/>
              </w:rPr>
              <w:t xml:space="preserve"> sampler</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r w:rsidR="000F387B" w:rsidRPr="000F387B" w:rsidTr="000F387B">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rPr>
              <w:t>   </w:t>
            </w: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r w:rsidRPr="000F387B">
              <w:rPr>
                <w:rFonts w:ascii="Arial Unicode MS" w:eastAsia="Arial Unicode MS" w:hAnsi="Arial Unicode MS" w:cs="Arial Unicode MS" w:hint="eastAsia"/>
              </w:rPr>
              <w:t>•</w:t>
            </w:r>
            <w:r w:rsidRPr="000F387B">
              <w:rPr>
                <w:rFonts w:ascii="Arial" w:eastAsia="Times New Roman" w:hAnsi="Arial" w:cs="Arial"/>
              </w:rPr>
              <w:t>  </w:t>
            </w:r>
            <w:proofErr w:type="spellStart"/>
            <w:r w:rsidRPr="000F387B">
              <w:rPr>
                <w:rFonts w:ascii="Arial" w:eastAsia="Times New Roman" w:hAnsi="Arial" w:cs="Arial"/>
              </w:rPr>
              <w:t>Orsat</w:t>
            </w:r>
            <w:proofErr w:type="spellEnd"/>
            <w:r w:rsidRPr="000F387B">
              <w:rPr>
                <w:rFonts w:ascii="Arial" w:eastAsia="Times New Roman" w:hAnsi="Arial" w:cs="Arial"/>
              </w:rPr>
              <w:t xml:space="preserve"> or </w:t>
            </w:r>
            <w:proofErr w:type="spellStart"/>
            <w:r w:rsidRPr="000F387B">
              <w:rPr>
                <w:rFonts w:ascii="Arial" w:eastAsia="Times New Roman" w:hAnsi="Arial" w:cs="Arial"/>
              </w:rPr>
              <w:t>Fyrite</w:t>
            </w:r>
            <w:proofErr w:type="spellEnd"/>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Arial" w:eastAsia="Times New Roman" w:hAnsi="Arial" w:cs="Arial"/>
              </w:rPr>
            </w:pPr>
          </w:p>
        </w:tc>
        <w:tc>
          <w:tcPr>
            <w:tcW w:w="0" w:type="auto"/>
            <w:tcBorders>
              <w:top w:val="single" w:sz="6" w:space="0" w:color="000000"/>
              <w:left w:val="single" w:sz="6" w:space="0" w:color="000000"/>
              <w:bottom w:val="single" w:sz="6" w:space="0" w:color="000000"/>
              <w:right w:val="single" w:sz="6" w:space="0" w:color="000000"/>
            </w:tcBorders>
            <w:hideMark/>
          </w:tcPr>
          <w:p w:rsidR="000F387B" w:rsidRPr="000F387B" w:rsidRDefault="000F387B" w:rsidP="000F387B">
            <w:pPr>
              <w:spacing w:after="0" w:line="240" w:lineRule="auto"/>
              <w:rPr>
                <w:rFonts w:ascii="Times New Roman" w:eastAsia="Times New Roman" w:hAnsi="Times New Roman" w:cs="Times New Roman"/>
              </w:rPr>
            </w:pPr>
          </w:p>
        </w:tc>
      </w:tr>
    </w:tbl>
    <w:p w:rsidR="000F387B" w:rsidRPr="000F387B" w:rsidRDefault="000F387B" w:rsidP="000F387B">
      <w:pPr>
        <w:spacing w:after="0" w:line="240" w:lineRule="auto"/>
        <w:rPr>
          <w:rFonts w:ascii="Arial" w:eastAsia="Times New Roman" w:hAnsi="Arial" w:cs="Arial"/>
        </w:rPr>
      </w:pPr>
      <w:r w:rsidRPr="000F387B">
        <w:rPr>
          <w:rFonts w:ascii="Arial" w:eastAsia="Times New Roman" w:hAnsi="Arial" w:cs="Arial"/>
          <w:noProof/>
        </w:rPr>
        <w:drawing>
          <wp:inline distT="0" distB="0" distL="0" distR="0">
            <wp:extent cx="4216400" cy="5118100"/>
            <wp:effectExtent l="0" t="0" r="0" b="6350"/>
            <wp:docPr id="3" name="Picture 3" descr="eCFR graphic er72ad04.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eCFR graphic er72ad04.008.gif"/>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4216400" cy="511810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126" w:history="1">
        <w:r w:rsidRPr="000F387B">
          <w:rPr>
            <w:rFonts w:ascii="Arial" w:eastAsia="Times New Roman" w:hAnsi="Arial" w:cs="Arial"/>
            <w:color w:val="0000FF"/>
          </w:rPr>
          <w:t>View or download PDF</w:t>
        </w:r>
      </w:hyperlink>
    </w:p>
    <w:p w:rsidR="000F387B" w:rsidRPr="000F387B" w:rsidRDefault="000F387B" w:rsidP="000F387B">
      <w:pPr>
        <w:spacing w:before="100" w:beforeAutospacing="1" w:after="100" w:afterAutospacing="1" w:line="240" w:lineRule="auto"/>
        <w:ind w:firstLine="480"/>
        <w:rPr>
          <w:rFonts w:ascii="Arial" w:eastAsia="Times New Roman" w:hAnsi="Arial" w:cs="Arial"/>
        </w:rPr>
      </w:pPr>
      <w:r w:rsidRPr="000F387B">
        <w:rPr>
          <w:rFonts w:ascii="Arial" w:eastAsia="Times New Roman" w:hAnsi="Arial" w:cs="Arial"/>
          <w:noProof/>
        </w:rPr>
        <w:drawing>
          <wp:inline distT="0" distB="0" distL="0" distR="0">
            <wp:extent cx="3816350" cy="2032000"/>
            <wp:effectExtent l="0" t="0" r="0" b="6350"/>
            <wp:docPr id="2" name="Picture 2" descr="eCFR graphic er72ad04.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eCFR graphic er72ad04.009.gif"/>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3816350" cy="2032000"/>
                    </a:xfrm>
                    <a:prstGeom prst="rect">
                      <a:avLst/>
                    </a:prstGeom>
                    <a:noFill/>
                    <a:ln>
                      <a:noFill/>
                    </a:ln>
                  </pic:spPr>
                </pic:pic>
              </a:graphicData>
            </a:graphic>
          </wp:inline>
        </w:drawing>
      </w:r>
    </w:p>
    <w:p w:rsidR="000F387B" w:rsidRPr="000F387B" w:rsidRDefault="000F387B" w:rsidP="000F387B">
      <w:pPr>
        <w:spacing w:before="100" w:beforeAutospacing="1" w:after="100" w:afterAutospacing="1" w:line="240" w:lineRule="auto"/>
        <w:ind w:firstLine="480"/>
        <w:rPr>
          <w:rFonts w:ascii="Arial" w:eastAsia="Times New Roman" w:hAnsi="Arial" w:cs="Arial"/>
        </w:rPr>
      </w:pPr>
      <w:hyperlink r:id="rId128" w:history="1">
        <w:r w:rsidRPr="000F387B">
          <w:rPr>
            <w:rFonts w:ascii="Arial" w:eastAsia="Times New Roman" w:hAnsi="Arial" w:cs="Arial"/>
            <w:color w:val="0000FF"/>
          </w:rPr>
          <w:t>View or download PDF</w:t>
        </w:r>
      </w:hyperlink>
    </w:p>
    <w:p w:rsidR="000F387B" w:rsidRPr="000F387B" w:rsidRDefault="000F387B" w:rsidP="000F387B">
      <w:pPr>
        <w:spacing w:before="200" w:after="100" w:afterAutospacing="1" w:line="240" w:lineRule="auto"/>
        <w:rPr>
          <w:rFonts w:ascii="Arial" w:eastAsia="Times New Roman" w:hAnsi="Arial" w:cs="Arial"/>
        </w:rPr>
      </w:pPr>
      <w:r w:rsidRPr="000F387B">
        <w:rPr>
          <w:rFonts w:ascii="Arial" w:eastAsia="Times New Roman" w:hAnsi="Arial" w:cs="Arial"/>
        </w:rPr>
        <w:t>[69 FR 46011, July 30, 2004, as amended at 71 FR 8375, Feb. 16, 2006]</w:t>
      </w:r>
    </w:p>
    <w:p w:rsidR="009C3905" w:rsidRPr="000F387B" w:rsidRDefault="000F387B" w:rsidP="000F387B">
      <w:hyperlink r:id="rId129" w:anchor="_top" w:history="1">
        <w:r w:rsidRPr="000F387B">
          <w:rPr>
            <w:rFonts w:ascii="Arial" w:eastAsia="Times New Roman" w:hAnsi="Arial" w:cs="Arial"/>
            <w:noProof/>
            <w:color w:val="0000FF"/>
          </w:rPr>
          <w:drawing>
            <wp:inline distT="0" distB="0" distL="0" distR="0">
              <wp:extent cx="152400" cy="152400"/>
              <wp:effectExtent l="0" t="0" r="0" b="0"/>
              <wp:docPr id="1" name="Picture 1" descr="return arrow">
                <a:hlinkClick xmlns:a="http://schemas.openxmlformats.org/drawingml/2006/main" r:id="rId5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return arrow">
                        <a:hlinkClick r:id="rId59"/>
                      </pic:cNvPr>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0F387B">
          <w:rPr>
            <w:rFonts w:ascii="Arial" w:eastAsia="Times New Roman" w:hAnsi="Arial" w:cs="Arial"/>
            <w:color w:val="0000FF"/>
          </w:rPr>
          <w:t>Back to Top</w:t>
        </w:r>
      </w:hyperlink>
    </w:p>
    <w:sectPr w:rsidR="009C3905" w:rsidRPr="000F387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35EC"/>
    <w:rsid w:val="000F387B"/>
    <w:rsid w:val="009C3905"/>
    <w:rsid w:val="00D535EC"/>
    <w:rsid w:val="00EF13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D38959-DDB3-423A-A40A-3AC03FACD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0F387B"/>
    <w:pPr>
      <w:spacing w:before="200" w:after="100" w:line="240" w:lineRule="auto"/>
      <w:jc w:val="center"/>
      <w:outlineLvl w:val="0"/>
    </w:pPr>
    <w:rPr>
      <w:rFonts w:ascii="Times New Roman" w:eastAsia="Times New Roman" w:hAnsi="Times New Roman" w:cs="Times New Roman"/>
      <w:b/>
      <w:bCs/>
      <w:kern w:val="36"/>
      <w:sz w:val="20"/>
      <w:szCs w:val="20"/>
    </w:rPr>
  </w:style>
  <w:style w:type="paragraph" w:styleId="Heading2">
    <w:name w:val="heading 2"/>
    <w:basedOn w:val="Normal"/>
    <w:link w:val="Heading2Char"/>
    <w:uiPriority w:val="9"/>
    <w:qFormat/>
    <w:rsid w:val="000F387B"/>
    <w:pPr>
      <w:spacing w:before="200" w:after="100" w:line="240" w:lineRule="auto"/>
      <w:jc w:val="center"/>
      <w:outlineLvl w:val="1"/>
    </w:pPr>
    <w:rPr>
      <w:rFonts w:ascii="Times New Roman" w:eastAsia="Times New Roman" w:hAnsi="Times New Roman" w:cs="Times New Roman"/>
      <w:b/>
      <w:bCs/>
      <w:sz w:val="20"/>
      <w:szCs w:val="20"/>
    </w:rPr>
  </w:style>
  <w:style w:type="paragraph" w:styleId="Heading3">
    <w:name w:val="heading 3"/>
    <w:basedOn w:val="Normal"/>
    <w:link w:val="Heading3Char"/>
    <w:uiPriority w:val="9"/>
    <w:qFormat/>
    <w:rsid w:val="000F387B"/>
    <w:pPr>
      <w:spacing w:before="200" w:after="100" w:line="240" w:lineRule="auto"/>
      <w:jc w:val="center"/>
      <w:outlineLvl w:val="2"/>
    </w:pPr>
    <w:rPr>
      <w:rFonts w:ascii="Times New Roman" w:eastAsia="Times New Roman" w:hAnsi="Times New Roman" w:cs="Times New Roman"/>
      <w:b/>
      <w:bCs/>
      <w:sz w:val="20"/>
      <w:szCs w:val="20"/>
    </w:rPr>
  </w:style>
  <w:style w:type="paragraph" w:styleId="Heading4">
    <w:name w:val="heading 4"/>
    <w:basedOn w:val="Normal"/>
    <w:link w:val="Heading4Char"/>
    <w:uiPriority w:val="9"/>
    <w:qFormat/>
    <w:rsid w:val="000F387B"/>
    <w:pPr>
      <w:spacing w:before="200" w:after="100" w:line="240" w:lineRule="auto"/>
      <w:jc w:val="center"/>
      <w:outlineLvl w:val="3"/>
    </w:pPr>
    <w:rPr>
      <w:rFonts w:ascii="Times New Roman" w:eastAsia="Times New Roman" w:hAnsi="Times New Roman" w:cs="Times New Roman"/>
      <w:b/>
      <w:bCs/>
      <w:sz w:val="20"/>
      <w:szCs w:val="20"/>
    </w:rPr>
  </w:style>
  <w:style w:type="paragraph" w:styleId="Heading5">
    <w:name w:val="heading 5"/>
    <w:basedOn w:val="Normal"/>
    <w:link w:val="Heading5Char"/>
    <w:uiPriority w:val="9"/>
    <w:qFormat/>
    <w:rsid w:val="000F387B"/>
    <w:pPr>
      <w:spacing w:before="200" w:after="100" w:line="240" w:lineRule="auto"/>
      <w:jc w:val="center"/>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387B"/>
    <w:rPr>
      <w:rFonts w:ascii="Times New Roman" w:eastAsia="Times New Roman" w:hAnsi="Times New Roman" w:cs="Times New Roman"/>
      <w:b/>
      <w:bCs/>
      <w:kern w:val="36"/>
      <w:sz w:val="20"/>
      <w:szCs w:val="20"/>
    </w:rPr>
  </w:style>
  <w:style w:type="character" w:customStyle="1" w:styleId="Heading2Char">
    <w:name w:val="Heading 2 Char"/>
    <w:basedOn w:val="DefaultParagraphFont"/>
    <w:link w:val="Heading2"/>
    <w:uiPriority w:val="9"/>
    <w:rsid w:val="000F387B"/>
    <w:rPr>
      <w:rFonts w:ascii="Times New Roman" w:eastAsia="Times New Roman" w:hAnsi="Times New Roman" w:cs="Times New Roman"/>
      <w:b/>
      <w:bCs/>
      <w:sz w:val="20"/>
      <w:szCs w:val="20"/>
    </w:rPr>
  </w:style>
  <w:style w:type="character" w:customStyle="1" w:styleId="Heading3Char">
    <w:name w:val="Heading 3 Char"/>
    <w:basedOn w:val="DefaultParagraphFont"/>
    <w:link w:val="Heading3"/>
    <w:uiPriority w:val="9"/>
    <w:rsid w:val="000F387B"/>
    <w:rPr>
      <w:rFonts w:ascii="Times New Roman" w:eastAsia="Times New Roman" w:hAnsi="Times New Roman" w:cs="Times New Roman"/>
      <w:b/>
      <w:bCs/>
      <w:sz w:val="20"/>
      <w:szCs w:val="20"/>
    </w:rPr>
  </w:style>
  <w:style w:type="character" w:customStyle="1" w:styleId="Heading4Char">
    <w:name w:val="Heading 4 Char"/>
    <w:basedOn w:val="DefaultParagraphFont"/>
    <w:link w:val="Heading4"/>
    <w:uiPriority w:val="9"/>
    <w:rsid w:val="000F387B"/>
    <w:rPr>
      <w:rFonts w:ascii="Times New Roman" w:eastAsia="Times New Roman" w:hAnsi="Times New Roman" w:cs="Times New Roman"/>
      <w:b/>
      <w:bCs/>
      <w:sz w:val="20"/>
      <w:szCs w:val="20"/>
    </w:rPr>
  </w:style>
  <w:style w:type="character" w:customStyle="1" w:styleId="Heading5Char">
    <w:name w:val="Heading 5 Char"/>
    <w:basedOn w:val="DefaultParagraphFont"/>
    <w:link w:val="Heading5"/>
    <w:uiPriority w:val="9"/>
    <w:rsid w:val="000F387B"/>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0F387B"/>
    <w:rPr>
      <w:rFonts w:ascii="Arial" w:hAnsi="Arial" w:cs="Arial" w:hint="default"/>
      <w:strike w:val="0"/>
      <w:dstrike w:val="0"/>
      <w:color w:val="0000FF"/>
      <w:sz w:val="17"/>
      <w:szCs w:val="17"/>
      <w:u w:val="none"/>
      <w:effect w:val="none"/>
    </w:rPr>
  </w:style>
  <w:style w:type="character" w:styleId="FollowedHyperlink">
    <w:name w:val="FollowedHyperlink"/>
    <w:basedOn w:val="DefaultParagraphFont"/>
    <w:uiPriority w:val="99"/>
    <w:semiHidden/>
    <w:unhideWhenUsed/>
    <w:rsid w:val="000F387B"/>
    <w:rPr>
      <w:rFonts w:ascii="Arial" w:hAnsi="Arial" w:cs="Arial" w:hint="default"/>
      <w:strike w:val="0"/>
      <w:dstrike w:val="0"/>
      <w:color w:val="800080"/>
      <w:sz w:val="17"/>
      <w:szCs w:val="17"/>
      <w:u w:val="none"/>
      <w:effect w:val="none"/>
    </w:rPr>
  </w:style>
  <w:style w:type="paragraph" w:styleId="NormalWeb">
    <w:name w:val="Normal (Web)"/>
    <w:basedOn w:val="Normal"/>
    <w:uiPriority w:val="99"/>
    <w:semiHidden/>
    <w:unhideWhenUsed/>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0F387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0F387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0F387B"/>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0F38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0F387B"/>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0F387B"/>
    <w:pPr>
      <w:spacing w:before="100" w:beforeAutospacing="1" w:after="100" w:afterAutospacing="1" w:line="240" w:lineRule="auto"/>
      <w:jc w:val="center"/>
    </w:pPr>
    <w:rPr>
      <w:rFonts w:ascii="Arial" w:eastAsia="Times New Roman" w:hAnsi="Arial" w:cs="Arial"/>
      <w:b/>
      <w:bCs/>
      <w:color w:val="FF0000"/>
      <w:sz w:val="27"/>
      <w:szCs w:val="27"/>
    </w:rPr>
  </w:style>
  <w:style w:type="paragraph" w:customStyle="1" w:styleId="contact">
    <w:name w:val="contact"/>
    <w:basedOn w:val="Normal"/>
    <w:rsid w:val="000F387B"/>
    <w:pPr>
      <w:spacing w:before="100" w:beforeAutospacing="1" w:after="100" w:afterAutospacing="1" w:line="240" w:lineRule="auto"/>
    </w:pPr>
    <w:rPr>
      <w:rFonts w:ascii="Times New Roman" w:eastAsia="Times New Roman" w:hAnsi="Times New Roman" w:cs="Times New Roman"/>
      <w:sz w:val="17"/>
      <w:szCs w:val="17"/>
    </w:rPr>
  </w:style>
  <w:style w:type="paragraph" w:customStyle="1" w:styleId="top-menu">
    <w:name w:val="top-menu"/>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0F387B"/>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0F387B"/>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noticelink">
    <w:name w:val="noticelink"/>
    <w:basedOn w:val="Normal"/>
    <w:rsid w:val="000F387B"/>
    <w:pPr>
      <w:spacing w:before="100" w:beforeAutospacing="1" w:after="100" w:afterAutospacing="1" w:line="240" w:lineRule="auto"/>
      <w:ind w:firstLine="480"/>
    </w:pPr>
    <w:rPr>
      <w:rFonts w:ascii="Times New Roman" w:eastAsia="Times New Roman" w:hAnsi="Times New Roman" w:cs="Times New Roman"/>
      <w:color w:val="0000FF"/>
      <w:sz w:val="21"/>
      <w:szCs w:val="21"/>
      <w:u w:val="single"/>
    </w:rPr>
  </w:style>
  <w:style w:type="paragraph" w:customStyle="1" w:styleId="menu-home-title">
    <w:name w:val="menu-home-title"/>
    <w:basedOn w:val="Normal"/>
    <w:rsid w:val="000F387B"/>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0F387B"/>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0F387B"/>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0F387B"/>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0F387B"/>
    <w:pPr>
      <w:pBdr>
        <w:top w:val="single" w:sz="36"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0F387B"/>
    <w:pPr>
      <w:pBdr>
        <w:right w:val="single" w:sz="6" w:space="4"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0F387B"/>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0F387B"/>
    <w:pPr>
      <w:spacing w:before="100" w:beforeAutospacing="1" w:after="100" w:afterAutospacing="1" w:line="210" w:lineRule="atLeast"/>
      <w:ind w:firstLine="480"/>
    </w:pPr>
    <w:rPr>
      <w:rFonts w:ascii="Times New Roman" w:eastAsia="Times New Roman" w:hAnsi="Times New Roman" w:cs="Times New Roman"/>
      <w:b/>
      <w:bCs/>
      <w:spacing w:val="15"/>
      <w:sz w:val="17"/>
      <w:szCs w:val="17"/>
    </w:rPr>
  </w:style>
  <w:style w:type="paragraph" w:customStyle="1" w:styleId="left-menu-sublinks">
    <w:name w:val="left-menu-sublinks"/>
    <w:basedOn w:val="Normal"/>
    <w:rsid w:val="000F387B"/>
    <w:pPr>
      <w:spacing w:before="100" w:beforeAutospacing="1" w:after="100" w:afterAutospacing="1" w:line="240" w:lineRule="auto"/>
      <w:ind w:left="150" w:firstLine="480"/>
    </w:pPr>
    <w:rPr>
      <w:rFonts w:ascii="Times New Roman" w:eastAsia="Times New Roman" w:hAnsi="Times New Roman" w:cs="Times New Roman"/>
      <w:sz w:val="24"/>
      <w:szCs w:val="24"/>
    </w:rPr>
  </w:style>
  <w:style w:type="paragraph" w:customStyle="1" w:styleId="sidebar-title-bar">
    <w:name w:val="sidebar-title-bar"/>
    <w:basedOn w:val="Normal"/>
    <w:rsid w:val="000F387B"/>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20"/>
      <w:sz w:val="17"/>
      <w:szCs w:val="17"/>
    </w:rPr>
  </w:style>
  <w:style w:type="paragraph" w:customStyle="1" w:styleId="collection-latest-resources-mask">
    <w:name w:val="collection-latest-resources-mask"/>
    <w:basedOn w:val="Normal"/>
    <w:rsid w:val="000F387B"/>
    <w:pPr>
      <w:spacing w:before="150"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0F387B"/>
    <w:pPr>
      <w:spacing w:after="0" w:line="240" w:lineRule="auto"/>
      <w:ind w:firstLine="480"/>
    </w:pPr>
    <w:rPr>
      <w:rFonts w:ascii="Times New Roman" w:eastAsia="Times New Roman" w:hAnsi="Times New Roman" w:cs="Times New Roman"/>
      <w:caps/>
      <w:sz w:val="27"/>
      <w:szCs w:val="27"/>
    </w:rPr>
  </w:style>
  <w:style w:type="paragraph" w:customStyle="1" w:styleId="hd1">
    <w:name w:val="hd1"/>
    <w:basedOn w:val="Normal"/>
    <w:rsid w:val="000F387B"/>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0F387B"/>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0F387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0F387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0F387B"/>
    <w:pPr>
      <w:spacing w:before="100" w:beforeAutospacing="1" w:after="100" w:afterAutospacing="1" w:line="240" w:lineRule="auto"/>
      <w:ind w:firstLine="480"/>
      <w:jc w:val="center"/>
    </w:pPr>
    <w:rPr>
      <w:rFonts w:ascii="Times New Roman" w:eastAsia="Times New Roman" w:hAnsi="Times New Roman" w:cs="Times New Roman"/>
      <w:b/>
      <w:bCs/>
      <w:sz w:val="23"/>
      <w:szCs w:val="23"/>
    </w:rPr>
  </w:style>
  <w:style w:type="paragraph" w:customStyle="1" w:styleId="hed1">
    <w:name w:val="hed1"/>
    <w:basedOn w:val="Normal"/>
    <w:rsid w:val="000F387B"/>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frp">
    <w:name w:val="frp"/>
    <w:basedOn w:val="Normal"/>
    <w:rsid w:val="000F387B"/>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0F387B"/>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0F387B"/>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0F387B"/>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0F387B"/>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0F387B"/>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0F387B"/>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0F387B"/>
    <w:pPr>
      <w:spacing w:before="200" w:after="100" w:afterAutospacing="1" w:line="240" w:lineRule="auto"/>
    </w:pPr>
    <w:rPr>
      <w:rFonts w:ascii="Times New Roman" w:eastAsia="Times New Roman" w:hAnsi="Times New Roman" w:cs="Times New Roman"/>
      <w:b/>
      <w:bCs/>
      <w:sz w:val="20"/>
      <w:szCs w:val="20"/>
    </w:rPr>
  </w:style>
  <w:style w:type="paragraph" w:customStyle="1" w:styleId="contentsg">
    <w:name w:val="contentsg"/>
    <w:basedOn w:val="Normal"/>
    <w:rsid w:val="000F387B"/>
    <w:pPr>
      <w:spacing w:before="200" w:after="100" w:afterAutospacing="1" w:line="240" w:lineRule="auto"/>
    </w:pPr>
    <w:rPr>
      <w:rFonts w:ascii="Times New Roman" w:eastAsia="Times New Roman" w:hAnsi="Times New Roman" w:cs="Times New Roman"/>
      <w:smallCaps/>
      <w:sz w:val="20"/>
      <w:szCs w:val="20"/>
    </w:rPr>
  </w:style>
  <w:style w:type="paragraph" w:customStyle="1" w:styleId="updatetitle">
    <w:name w:val="updatetitle"/>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updatebold">
    <w:name w:val="updatebold"/>
    <w:basedOn w:val="Normal"/>
    <w:rsid w:val="000F387B"/>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updatebodytest">
    <w:name w:val="updatebodytest"/>
    <w:basedOn w:val="Normal"/>
    <w:rsid w:val="000F387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dnote">
    <w:name w:val="ednote"/>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ffdnot">
    <w:name w:val="effdnot"/>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example">
    <w:name w:val="example"/>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rossref">
    <w:name w:val="crossref"/>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note">
    <w:name w:val="note"/>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cita">
    <w:name w:val="cita"/>
    <w:basedOn w:val="Normal"/>
    <w:rsid w:val="000F387B"/>
    <w:pPr>
      <w:spacing w:before="200" w:after="100" w:afterAutospacing="1" w:line="240" w:lineRule="auto"/>
    </w:pPr>
    <w:rPr>
      <w:rFonts w:ascii="Times New Roman" w:eastAsia="Times New Roman" w:hAnsi="Times New Roman" w:cs="Times New Roman"/>
      <w:sz w:val="18"/>
      <w:szCs w:val="18"/>
    </w:rPr>
  </w:style>
  <w:style w:type="paragraph" w:customStyle="1" w:styleId="appro">
    <w:name w:val="appro"/>
    <w:basedOn w:val="Normal"/>
    <w:rsid w:val="000F387B"/>
    <w:pPr>
      <w:spacing w:before="200" w:after="100" w:afterAutospacing="1" w:line="240" w:lineRule="auto"/>
    </w:pPr>
    <w:rPr>
      <w:rFonts w:ascii="Times New Roman" w:eastAsia="Times New Roman" w:hAnsi="Times New Roman" w:cs="Times New Roman"/>
      <w:sz w:val="18"/>
      <w:szCs w:val="18"/>
    </w:rPr>
  </w:style>
  <w:style w:type="paragraph" w:customStyle="1" w:styleId="auth">
    <w:name w:val="auth"/>
    <w:basedOn w:val="Normal"/>
    <w:rsid w:val="000F387B"/>
    <w:pPr>
      <w:spacing w:before="200" w:after="100" w:afterAutospacing="1" w:line="240" w:lineRule="auto"/>
      <w:ind w:firstLine="480"/>
    </w:pPr>
    <w:rPr>
      <w:rFonts w:ascii="Times New Roman" w:eastAsia="Times New Roman" w:hAnsi="Times New Roman" w:cs="Times New Roman"/>
      <w:sz w:val="18"/>
      <w:szCs w:val="18"/>
    </w:rPr>
  </w:style>
  <w:style w:type="paragraph" w:customStyle="1" w:styleId="parauth">
    <w:name w:val="parauth"/>
    <w:basedOn w:val="Normal"/>
    <w:rsid w:val="000F387B"/>
    <w:pPr>
      <w:spacing w:before="200" w:after="100" w:afterAutospacing="1" w:line="240" w:lineRule="auto"/>
    </w:pPr>
    <w:rPr>
      <w:rFonts w:ascii="Times New Roman" w:eastAsia="Times New Roman" w:hAnsi="Times New Roman" w:cs="Times New Roman"/>
      <w:sz w:val="18"/>
      <w:szCs w:val="18"/>
    </w:rPr>
  </w:style>
  <w:style w:type="paragraph" w:customStyle="1" w:styleId="secauth">
    <w:name w:val="secauth"/>
    <w:basedOn w:val="Normal"/>
    <w:rsid w:val="000F387B"/>
    <w:pPr>
      <w:spacing w:before="200" w:after="100" w:afterAutospacing="1" w:line="240" w:lineRule="auto"/>
    </w:pPr>
    <w:rPr>
      <w:rFonts w:ascii="Times New Roman" w:eastAsia="Times New Roman" w:hAnsi="Times New Roman" w:cs="Times New Roman"/>
      <w:sz w:val="18"/>
      <w:szCs w:val="18"/>
    </w:rPr>
  </w:style>
  <w:style w:type="paragraph" w:customStyle="1" w:styleId="title">
    <w:name w:val="title"/>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0F387B"/>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0F387B"/>
    <w:pPr>
      <w:spacing w:before="200" w:after="100" w:line="240" w:lineRule="auto"/>
      <w:ind w:firstLine="480"/>
      <w:jc w:val="center"/>
    </w:pPr>
    <w:rPr>
      <w:rFonts w:ascii="Times New Roman" w:eastAsia="Times New Roman" w:hAnsi="Times New Roman" w:cs="Times New Roman"/>
      <w:smallCaps/>
      <w:sz w:val="20"/>
      <w:szCs w:val="20"/>
    </w:rPr>
  </w:style>
  <w:style w:type="paragraph" w:customStyle="1" w:styleId="sphead">
    <w:name w:val="sphead"/>
    <w:basedOn w:val="Normal"/>
    <w:rsid w:val="000F387B"/>
    <w:pPr>
      <w:spacing w:before="200" w:after="100" w:line="240" w:lineRule="auto"/>
    </w:pPr>
    <w:rPr>
      <w:rFonts w:ascii="Times New Roman" w:eastAsia="Times New Roman" w:hAnsi="Times New Roman" w:cs="Times New Roman"/>
      <w:b/>
      <w:bCs/>
      <w:sz w:val="27"/>
      <w:szCs w:val="27"/>
    </w:rPr>
  </w:style>
  <w:style w:type="paragraph" w:customStyle="1" w:styleId="cpsghead">
    <w:name w:val="cpsghead"/>
    <w:basedOn w:val="Normal"/>
    <w:rsid w:val="000F387B"/>
    <w:pPr>
      <w:spacing w:before="100" w:after="0" w:line="240" w:lineRule="auto"/>
    </w:pPr>
    <w:rPr>
      <w:rFonts w:ascii="Times New Roman" w:eastAsia="Times New Roman" w:hAnsi="Times New Roman" w:cs="Times New Roman"/>
      <w:smallCaps/>
      <w:sz w:val="18"/>
      <w:szCs w:val="18"/>
    </w:rPr>
  </w:style>
  <w:style w:type="paragraph" w:customStyle="1" w:styleId="tsghead">
    <w:name w:val="tsghead"/>
    <w:basedOn w:val="Normal"/>
    <w:rsid w:val="000F387B"/>
    <w:pPr>
      <w:spacing w:before="200" w:after="100" w:line="240" w:lineRule="auto"/>
    </w:pPr>
    <w:rPr>
      <w:rFonts w:ascii="Times New Roman" w:eastAsia="Times New Roman" w:hAnsi="Times New Roman" w:cs="Times New Roman"/>
      <w:b/>
      <w:bCs/>
      <w:smallCaps/>
      <w:sz w:val="27"/>
      <w:szCs w:val="27"/>
    </w:rPr>
  </w:style>
  <w:style w:type="paragraph" w:customStyle="1" w:styleId="sghead">
    <w:name w:val="sghead"/>
    <w:basedOn w:val="Normal"/>
    <w:rsid w:val="000F387B"/>
    <w:pPr>
      <w:spacing w:before="200" w:after="100" w:line="240" w:lineRule="auto"/>
      <w:jc w:val="center"/>
    </w:pPr>
    <w:rPr>
      <w:rFonts w:ascii="Times New Roman" w:eastAsia="Times New Roman" w:hAnsi="Times New Roman" w:cs="Times New Roman"/>
      <w:smallCaps/>
      <w:sz w:val="20"/>
      <w:szCs w:val="20"/>
    </w:rPr>
  </w:style>
  <w:style w:type="paragraph" w:customStyle="1" w:styleId="stars">
    <w:name w:val="stars"/>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0F387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0F387B"/>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0F387B"/>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0F387B"/>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0F387B"/>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0F387B"/>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0F387B"/>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0F387B"/>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0F387B"/>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0F387B"/>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ftnt">
    <w:name w:val="ftnt"/>
    <w:basedOn w:val="Normal"/>
    <w:rsid w:val="000F387B"/>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tpl">
    <w:name w:val="tpl"/>
    <w:basedOn w:val="Normal"/>
    <w:rsid w:val="000F387B"/>
    <w:pPr>
      <w:spacing w:before="100" w:beforeAutospacing="1" w:after="100" w:afterAutospacing="1" w:line="240" w:lineRule="auto"/>
      <w:ind w:firstLine="480"/>
    </w:pPr>
    <w:rPr>
      <w:rFonts w:ascii="Times New Roman" w:eastAsia="Times New Roman" w:hAnsi="Times New Roman" w:cs="Times New Roman"/>
      <w:sz w:val="20"/>
      <w:szCs w:val="20"/>
    </w:rPr>
  </w:style>
  <w:style w:type="paragraph" w:customStyle="1" w:styleId="sechd">
    <w:name w:val="sechd"/>
    <w:basedOn w:val="Normal"/>
    <w:rsid w:val="000F387B"/>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0F387B"/>
    <w:pPr>
      <w:spacing w:after="100" w:afterAutospacing="1" w:line="240" w:lineRule="auto"/>
    </w:pPr>
    <w:rPr>
      <w:rFonts w:ascii="Times New Roman" w:eastAsia="Times New Roman" w:hAnsi="Times New Roman" w:cs="Times New Roman"/>
      <w:sz w:val="24"/>
      <w:szCs w:val="24"/>
    </w:rPr>
  </w:style>
  <w:style w:type="paragraph" w:customStyle="1" w:styleId="su">
    <w:name w:val="su"/>
    <w:basedOn w:val="Normal"/>
    <w:rsid w:val="000F387B"/>
    <w:pPr>
      <w:spacing w:before="100" w:beforeAutospacing="1" w:after="100" w:afterAutospacing="1" w:line="240" w:lineRule="auto"/>
      <w:ind w:firstLine="480"/>
    </w:pPr>
    <w:rPr>
      <w:rFonts w:ascii="Times New Roman" w:eastAsia="Times New Roman" w:hAnsi="Times New Roman" w:cs="Times New Roman"/>
      <w:sz w:val="17"/>
      <w:szCs w:val="17"/>
      <w:vertAlign w:val="superscript"/>
    </w:rPr>
  </w:style>
  <w:style w:type="paragraph" w:customStyle="1" w:styleId="titlepage">
    <w:name w:val="titlepage"/>
    <w:basedOn w:val="Normal"/>
    <w:rsid w:val="000F387B"/>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gpotblhang">
    <w:name w:val="gpotbl_hang"/>
    <w:basedOn w:val="Normal"/>
    <w:rsid w:val="000F387B"/>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0F387B"/>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0F387B"/>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0F387B"/>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0F387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0F387B"/>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0F387B"/>
    <w:rPr>
      <w:shd w:val="clear" w:color="auto" w:fill="FFFFFF"/>
    </w:rPr>
  </w:style>
  <w:style w:type="character" w:customStyle="1" w:styleId="pdash">
    <w:name w:val="pdash"/>
    <w:basedOn w:val="DefaultParagraphFont"/>
    <w:rsid w:val="000F387B"/>
    <w:rPr>
      <w:shd w:val="clear" w:color="auto" w:fill="FFFFFF"/>
    </w:rPr>
  </w:style>
  <w:style w:type="paragraph" w:customStyle="1" w:styleId="gpotblnote">
    <w:name w:val="gpotbl_note"/>
    <w:basedOn w:val="Normal"/>
    <w:rsid w:val="000F387B"/>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0F387B"/>
    <w:rPr>
      <w:i/>
      <w:iCs/>
    </w:rPr>
  </w:style>
  <w:style w:type="character" w:customStyle="1" w:styleId="su1">
    <w:name w:val="su1"/>
    <w:basedOn w:val="DefaultParagraphFont"/>
    <w:rsid w:val="000F387B"/>
    <w:rPr>
      <w:smallCaps w:val="0"/>
      <w:sz w:val="17"/>
      <w:szCs w:val="17"/>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133255">
      <w:bodyDiv w:val="1"/>
      <w:marLeft w:val="0"/>
      <w:marRight w:val="0"/>
      <w:marTop w:val="30"/>
      <w:marBottom w:val="750"/>
      <w:divBdr>
        <w:top w:val="none" w:sz="0" w:space="0" w:color="auto"/>
        <w:left w:val="none" w:sz="0" w:space="0" w:color="auto"/>
        <w:bottom w:val="none" w:sz="0" w:space="0" w:color="auto"/>
        <w:right w:val="none" w:sz="0" w:space="0" w:color="auto"/>
      </w:divBdr>
      <w:divsChild>
        <w:div w:id="304623349">
          <w:marLeft w:val="0"/>
          <w:marRight w:val="0"/>
          <w:marTop w:val="0"/>
          <w:marBottom w:val="0"/>
          <w:divBdr>
            <w:top w:val="none" w:sz="0" w:space="0" w:color="auto"/>
            <w:left w:val="none" w:sz="0" w:space="0" w:color="auto"/>
            <w:bottom w:val="none" w:sz="0" w:space="0" w:color="auto"/>
            <w:right w:val="none" w:sz="0" w:space="0" w:color="auto"/>
          </w:divBdr>
          <w:divsChild>
            <w:div w:id="1172182444">
              <w:marLeft w:val="0"/>
              <w:marRight w:val="0"/>
              <w:marTop w:val="0"/>
              <w:marBottom w:val="0"/>
              <w:divBdr>
                <w:top w:val="none" w:sz="0" w:space="0" w:color="auto"/>
                <w:left w:val="none" w:sz="0" w:space="0" w:color="auto"/>
                <w:bottom w:val="none" w:sz="0" w:space="0" w:color="auto"/>
                <w:right w:val="none" w:sz="0" w:space="0" w:color="auto"/>
              </w:divBdr>
            </w:div>
            <w:div w:id="1674381040">
              <w:marLeft w:val="0"/>
              <w:marRight w:val="0"/>
              <w:marTop w:val="0"/>
              <w:marBottom w:val="0"/>
              <w:divBdr>
                <w:top w:val="none" w:sz="0" w:space="0" w:color="auto"/>
                <w:left w:val="none" w:sz="0" w:space="0" w:color="auto"/>
                <w:bottom w:val="none" w:sz="0" w:space="0" w:color="auto"/>
                <w:right w:val="none" w:sz="0" w:space="0" w:color="auto"/>
              </w:divBdr>
            </w:div>
            <w:div w:id="611784506">
              <w:marLeft w:val="0"/>
              <w:marRight w:val="0"/>
              <w:marTop w:val="0"/>
              <w:marBottom w:val="0"/>
              <w:divBdr>
                <w:top w:val="none" w:sz="0" w:space="0" w:color="auto"/>
                <w:left w:val="none" w:sz="0" w:space="0" w:color="auto"/>
                <w:bottom w:val="none" w:sz="0" w:space="0" w:color="auto"/>
                <w:right w:val="none" w:sz="0" w:space="0" w:color="auto"/>
              </w:divBdr>
            </w:div>
            <w:div w:id="390662159">
              <w:marLeft w:val="0"/>
              <w:marRight w:val="0"/>
              <w:marTop w:val="0"/>
              <w:marBottom w:val="0"/>
              <w:divBdr>
                <w:top w:val="none" w:sz="0" w:space="0" w:color="auto"/>
                <w:left w:val="none" w:sz="0" w:space="0" w:color="auto"/>
                <w:bottom w:val="none" w:sz="0" w:space="0" w:color="auto"/>
                <w:right w:val="none" w:sz="0" w:space="0" w:color="auto"/>
              </w:divBdr>
            </w:div>
            <w:div w:id="1142190874">
              <w:marLeft w:val="0"/>
              <w:marRight w:val="0"/>
              <w:marTop w:val="0"/>
              <w:marBottom w:val="0"/>
              <w:divBdr>
                <w:top w:val="none" w:sz="0" w:space="0" w:color="auto"/>
                <w:left w:val="none" w:sz="0" w:space="0" w:color="auto"/>
                <w:bottom w:val="none" w:sz="0" w:space="0" w:color="auto"/>
                <w:right w:val="none" w:sz="0" w:space="0" w:color="auto"/>
              </w:divBdr>
            </w:div>
            <w:div w:id="1299721531">
              <w:marLeft w:val="0"/>
              <w:marRight w:val="0"/>
              <w:marTop w:val="0"/>
              <w:marBottom w:val="0"/>
              <w:divBdr>
                <w:top w:val="none" w:sz="0" w:space="0" w:color="auto"/>
                <w:left w:val="none" w:sz="0" w:space="0" w:color="auto"/>
                <w:bottom w:val="none" w:sz="0" w:space="0" w:color="auto"/>
                <w:right w:val="none" w:sz="0" w:space="0" w:color="auto"/>
              </w:divBdr>
            </w:div>
            <w:div w:id="935165515">
              <w:marLeft w:val="0"/>
              <w:marRight w:val="0"/>
              <w:marTop w:val="0"/>
              <w:marBottom w:val="0"/>
              <w:divBdr>
                <w:top w:val="none" w:sz="0" w:space="0" w:color="auto"/>
                <w:left w:val="none" w:sz="0" w:space="0" w:color="auto"/>
                <w:bottom w:val="none" w:sz="0" w:space="0" w:color="auto"/>
                <w:right w:val="none" w:sz="0" w:space="0" w:color="auto"/>
              </w:divBdr>
            </w:div>
            <w:div w:id="1102341883">
              <w:marLeft w:val="0"/>
              <w:marRight w:val="0"/>
              <w:marTop w:val="0"/>
              <w:marBottom w:val="0"/>
              <w:divBdr>
                <w:top w:val="none" w:sz="0" w:space="0" w:color="auto"/>
                <w:left w:val="none" w:sz="0" w:space="0" w:color="auto"/>
                <w:bottom w:val="none" w:sz="0" w:space="0" w:color="auto"/>
                <w:right w:val="none" w:sz="0" w:space="0" w:color="auto"/>
              </w:divBdr>
            </w:div>
            <w:div w:id="1119184356">
              <w:marLeft w:val="0"/>
              <w:marRight w:val="0"/>
              <w:marTop w:val="0"/>
              <w:marBottom w:val="0"/>
              <w:divBdr>
                <w:top w:val="none" w:sz="0" w:space="0" w:color="auto"/>
                <w:left w:val="none" w:sz="0" w:space="0" w:color="auto"/>
                <w:bottom w:val="none" w:sz="0" w:space="0" w:color="auto"/>
                <w:right w:val="none" w:sz="0" w:space="0" w:color="auto"/>
              </w:divBdr>
            </w:div>
            <w:div w:id="235166805">
              <w:marLeft w:val="0"/>
              <w:marRight w:val="0"/>
              <w:marTop w:val="0"/>
              <w:marBottom w:val="0"/>
              <w:divBdr>
                <w:top w:val="none" w:sz="0" w:space="0" w:color="auto"/>
                <w:left w:val="none" w:sz="0" w:space="0" w:color="auto"/>
                <w:bottom w:val="none" w:sz="0" w:space="0" w:color="auto"/>
                <w:right w:val="none" w:sz="0" w:space="0" w:color="auto"/>
              </w:divBdr>
            </w:div>
            <w:div w:id="1213931146">
              <w:marLeft w:val="0"/>
              <w:marRight w:val="0"/>
              <w:marTop w:val="0"/>
              <w:marBottom w:val="0"/>
              <w:divBdr>
                <w:top w:val="none" w:sz="0" w:space="0" w:color="auto"/>
                <w:left w:val="none" w:sz="0" w:space="0" w:color="auto"/>
                <w:bottom w:val="none" w:sz="0" w:space="0" w:color="auto"/>
                <w:right w:val="none" w:sz="0" w:space="0" w:color="auto"/>
              </w:divBdr>
            </w:div>
            <w:div w:id="564027909">
              <w:marLeft w:val="0"/>
              <w:marRight w:val="0"/>
              <w:marTop w:val="0"/>
              <w:marBottom w:val="0"/>
              <w:divBdr>
                <w:top w:val="none" w:sz="0" w:space="0" w:color="auto"/>
                <w:left w:val="none" w:sz="0" w:space="0" w:color="auto"/>
                <w:bottom w:val="none" w:sz="0" w:space="0" w:color="auto"/>
                <w:right w:val="none" w:sz="0" w:space="0" w:color="auto"/>
              </w:divBdr>
            </w:div>
            <w:div w:id="189149536">
              <w:marLeft w:val="0"/>
              <w:marRight w:val="0"/>
              <w:marTop w:val="0"/>
              <w:marBottom w:val="0"/>
              <w:divBdr>
                <w:top w:val="none" w:sz="0" w:space="0" w:color="auto"/>
                <w:left w:val="none" w:sz="0" w:space="0" w:color="auto"/>
                <w:bottom w:val="none" w:sz="0" w:space="0" w:color="auto"/>
                <w:right w:val="none" w:sz="0" w:space="0" w:color="auto"/>
              </w:divBdr>
            </w:div>
            <w:div w:id="1104960512">
              <w:marLeft w:val="0"/>
              <w:marRight w:val="0"/>
              <w:marTop w:val="0"/>
              <w:marBottom w:val="0"/>
              <w:divBdr>
                <w:top w:val="none" w:sz="0" w:space="0" w:color="auto"/>
                <w:left w:val="none" w:sz="0" w:space="0" w:color="auto"/>
                <w:bottom w:val="none" w:sz="0" w:space="0" w:color="auto"/>
                <w:right w:val="none" w:sz="0" w:space="0" w:color="auto"/>
              </w:divBdr>
            </w:div>
            <w:div w:id="145436795">
              <w:marLeft w:val="0"/>
              <w:marRight w:val="0"/>
              <w:marTop w:val="0"/>
              <w:marBottom w:val="0"/>
              <w:divBdr>
                <w:top w:val="none" w:sz="0" w:space="0" w:color="auto"/>
                <w:left w:val="none" w:sz="0" w:space="0" w:color="auto"/>
                <w:bottom w:val="none" w:sz="0" w:space="0" w:color="auto"/>
                <w:right w:val="none" w:sz="0" w:space="0" w:color="auto"/>
              </w:divBdr>
            </w:div>
            <w:div w:id="1770153600">
              <w:marLeft w:val="0"/>
              <w:marRight w:val="0"/>
              <w:marTop w:val="0"/>
              <w:marBottom w:val="0"/>
              <w:divBdr>
                <w:top w:val="none" w:sz="0" w:space="0" w:color="auto"/>
                <w:left w:val="none" w:sz="0" w:space="0" w:color="auto"/>
                <w:bottom w:val="none" w:sz="0" w:space="0" w:color="auto"/>
                <w:right w:val="none" w:sz="0" w:space="0" w:color="auto"/>
              </w:divBdr>
            </w:div>
            <w:div w:id="1679767343">
              <w:marLeft w:val="0"/>
              <w:marRight w:val="0"/>
              <w:marTop w:val="0"/>
              <w:marBottom w:val="0"/>
              <w:divBdr>
                <w:top w:val="none" w:sz="0" w:space="0" w:color="auto"/>
                <w:left w:val="none" w:sz="0" w:space="0" w:color="auto"/>
                <w:bottom w:val="none" w:sz="0" w:space="0" w:color="auto"/>
                <w:right w:val="none" w:sz="0" w:space="0" w:color="auto"/>
              </w:divBdr>
            </w:div>
            <w:div w:id="823470066">
              <w:marLeft w:val="0"/>
              <w:marRight w:val="0"/>
              <w:marTop w:val="0"/>
              <w:marBottom w:val="0"/>
              <w:divBdr>
                <w:top w:val="none" w:sz="0" w:space="0" w:color="auto"/>
                <w:left w:val="none" w:sz="0" w:space="0" w:color="auto"/>
                <w:bottom w:val="none" w:sz="0" w:space="0" w:color="auto"/>
                <w:right w:val="none" w:sz="0" w:space="0" w:color="auto"/>
              </w:divBdr>
            </w:div>
            <w:div w:id="241374041">
              <w:marLeft w:val="0"/>
              <w:marRight w:val="0"/>
              <w:marTop w:val="0"/>
              <w:marBottom w:val="0"/>
              <w:divBdr>
                <w:top w:val="none" w:sz="0" w:space="0" w:color="auto"/>
                <w:left w:val="none" w:sz="0" w:space="0" w:color="auto"/>
                <w:bottom w:val="none" w:sz="0" w:space="0" w:color="auto"/>
                <w:right w:val="none" w:sz="0" w:space="0" w:color="auto"/>
              </w:divBdr>
            </w:div>
            <w:div w:id="1068575478">
              <w:marLeft w:val="0"/>
              <w:marRight w:val="0"/>
              <w:marTop w:val="0"/>
              <w:marBottom w:val="0"/>
              <w:divBdr>
                <w:top w:val="none" w:sz="0" w:space="0" w:color="auto"/>
                <w:left w:val="none" w:sz="0" w:space="0" w:color="auto"/>
                <w:bottom w:val="none" w:sz="0" w:space="0" w:color="auto"/>
                <w:right w:val="none" w:sz="0" w:space="0" w:color="auto"/>
              </w:divBdr>
            </w:div>
            <w:div w:id="830221846">
              <w:marLeft w:val="0"/>
              <w:marRight w:val="0"/>
              <w:marTop w:val="0"/>
              <w:marBottom w:val="0"/>
              <w:divBdr>
                <w:top w:val="none" w:sz="0" w:space="0" w:color="auto"/>
                <w:left w:val="none" w:sz="0" w:space="0" w:color="auto"/>
                <w:bottom w:val="none" w:sz="0" w:space="0" w:color="auto"/>
                <w:right w:val="none" w:sz="0" w:space="0" w:color="auto"/>
              </w:divBdr>
            </w:div>
            <w:div w:id="91557901">
              <w:marLeft w:val="0"/>
              <w:marRight w:val="0"/>
              <w:marTop w:val="0"/>
              <w:marBottom w:val="0"/>
              <w:divBdr>
                <w:top w:val="none" w:sz="0" w:space="0" w:color="auto"/>
                <w:left w:val="none" w:sz="0" w:space="0" w:color="auto"/>
                <w:bottom w:val="none" w:sz="0" w:space="0" w:color="auto"/>
                <w:right w:val="none" w:sz="0" w:space="0" w:color="auto"/>
              </w:divBdr>
            </w:div>
            <w:div w:id="1129515366">
              <w:marLeft w:val="0"/>
              <w:marRight w:val="0"/>
              <w:marTop w:val="0"/>
              <w:marBottom w:val="0"/>
              <w:divBdr>
                <w:top w:val="none" w:sz="0" w:space="0" w:color="auto"/>
                <w:left w:val="none" w:sz="0" w:space="0" w:color="auto"/>
                <w:bottom w:val="none" w:sz="0" w:space="0" w:color="auto"/>
                <w:right w:val="none" w:sz="0" w:space="0" w:color="auto"/>
              </w:divBdr>
            </w:div>
            <w:div w:id="489294997">
              <w:marLeft w:val="0"/>
              <w:marRight w:val="0"/>
              <w:marTop w:val="0"/>
              <w:marBottom w:val="0"/>
              <w:divBdr>
                <w:top w:val="none" w:sz="0" w:space="0" w:color="auto"/>
                <w:left w:val="none" w:sz="0" w:space="0" w:color="auto"/>
                <w:bottom w:val="none" w:sz="0" w:space="0" w:color="auto"/>
                <w:right w:val="none" w:sz="0" w:space="0" w:color="auto"/>
              </w:divBdr>
            </w:div>
            <w:div w:id="964310803">
              <w:marLeft w:val="0"/>
              <w:marRight w:val="0"/>
              <w:marTop w:val="0"/>
              <w:marBottom w:val="0"/>
              <w:divBdr>
                <w:top w:val="none" w:sz="0" w:space="0" w:color="auto"/>
                <w:left w:val="none" w:sz="0" w:space="0" w:color="auto"/>
                <w:bottom w:val="none" w:sz="0" w:space="0" w:color="auto"/>
                <w:right w:val="none" w:sz="0" w:space="0" w:color="auto"/>
              </w:divBdr>
            </w:div>
            <w:div w:id="1904749795">
              <w:marLeft w:val="0"/>
              <w:marRight w:val="0"/>
              <w:marTop w:val="0"/>
              <w:marBottom w:val="0"/>
              <w:divBdr>
                <w:top w:val="none" w:sz="0" w:space="0" w:color="auto"/>
                <w:left w:val="none" w:sz="0" w:space="0" w:color="auto"/>
                <w:bottom w:val="none" w:sz="0" w:space="0" w:color="auto"/>
                <w:right w:val="none" w:sz="0" w:space="0" w:color="auto"/>
              </w:divBdr>
            </w:div>
            <w:div w:id="614098572">
              <w:marLeft w:val="0"/>
              <w:marRight w:val="0"/>
              <w:marTop w:val="0"/>
              <w:marBottom w:val="0"/>
              <w:divBdr>
                <w:top w:val="none" w:sz="0" w:space="0" w:color="auto"/>
                <w:left w:val="none" w:sz="0" w:space="0" w:color="auto"/>
                <w:bottom w:val="none" w:sz="0" w:space="0" w:color="auto"/>
                <w:right w:val="none" w:sz="0" w:space="0" w:color="auto"/>
              </w:divBdr>
            </w:div>
            <w:div w:id="826559661">
              <w:marLeft w:val="0"/>
              <w:marRight w:val="0"/>
              <w:marTop w:val="0"/>
              <w:marBottom w:val="0"/>
              <w:divBdr>
                <w:top w:val="none" w:sz="0" w:space="0" w:color="auto"/>
                <w:left w:val="none" w:sz="0" w:space="0" w:color="auto"/>
                <w:bottom w:val="none" w:sz="0" w:space="0" w:color="auto"/>
                <w:right w:val="none" w:sz="0" w:space="0" w:color="auto"/>
              </w:divBdr>
            </w:div>
            <w:div w:id="505049787">
              <w:marLeft w:val="0"/>
              <w:marRight w:val="0"/>
              <w:marTop w:val="0"/>
              <w:marBottom w:val="0"/>
              <w:divBdr>
                <w:top w:val="none" w:sz="0" w:space="0" w:color="auto"/>
                <w:left w:val="none" w:sz="0" w:space="0" w:color="auto"/>
                <w:bottom w:val="none" w:sz="0" w:space="0" w:color="auto"/>
                <w:right w:val="none" w:sz="0" w:space="0" w:color="auto"/>
              </w:divBdr>
            </w:div>
            <w:div w:id="145325508">
              <w:marLeft w:val="0"/>
              <w:marRight w:val="0"/>
              <w:marTop w:val="0"/>
              <w:marBottom w:val="0"/>
              <w:divBdr>
                <w:top w:val="none" w:sz="0" w:space="0" w:color="auto"/>
                <w:left w:val="none" w:sz="0" w:space="0" w:color="auto"/>
                <w:bottom w:val="none" w:sz="0" w:space="0" w:color="auto"/>
                <w:right w:val="none" w:sz="0" w:space="0" w:color="auto"/>
              </w:divBdr>
            </w:div>
            <w:div w:id="1704596801">
              <w:marLeft w:val="0"/>
              <w:marRight w:val="0"/>
              <w:marTop w:val="0"/>
              <w:marBottom w:val="0"/>
              <w:divBdr>
                <w:top w:val="none" w:sz="0" w:space="0" w:color="auto"/>
                <w:left w:val="none" w:sz="0" w:space="0" w:color="auto"/>
                <w:bottom w:val="none" w:sz="0" w:space="0" w:color="auto"/>
                <w:right w:val="none" w:sz="0" w:space="0" w:color="auto"/>
              </w:divBdr>
            </w:div>
            <w:div w:id="1570458282">
              <w:marLeft w:val="0"/>
              <w:marRight w:val="0"/>
              <w:marTop w:val="0"/>
              <w:marBottom w:val="0"/>
              <w:divBdr>
                <w:top w:val="none" w:sz="0" w:space="0" w:color="auto"/>
                <w:left w:val="none" w:sz="0" w:space="0" w:color="auto"/>
                <w:bottom w:val="none" w:sz="0" w:space="0" w:color="auto"/>
                <w:right w:val="none" w:sz="0" w:space="0" w:color="auto"/>
              </w:divBdr>
            </w:div>
            <w:div w:id="211890221">
              <w:marLeft w:val="0"/>
              <w:marRight w:val="0"/>
              <w:marTop w:val="0"/>
              <w:marBottom w:val="0"/>
              <w:divBdr>
                <w:top w:val="none" w:sz="0" w:space="0" w:color="auto"/>
                <w:left w:val="none" w:sz="0" w:space="0" w:color="auto"/>
                <w:bottom w:val="none" w:sz="0" w:space="0" w:color="auto"/>
                <w:right w:val="none" w:sz="0" w:space="0" w:color="auto"/>
              </w:divBdr>
            </w:div>
            <w:div w:id="1211840939">
              <w:marLeft w:val="0"/>
              <w:marRight w:val="0"/>
              <w:marTop w:val="0"/>
              <w:marBottom w:val="0"/>
              <w:divBdr>
                <w:top w:val="none" w:sz="0" w:space="0" w:color="auto"/>
                <w:left w:val="none" w:sz="0" w:space="0" w:color="auto"/>
                <w:bottom w:val="none" w:sz="0" w:space="0" w:color="auto"/>
                <w:right w:val="none" w:sz="0" w:space="0" w:color="auto"/>
              </w:divBdr>
            </w:div>
            <w:div w:id="1822379369">
              <w:marLeft w:val="0"/>
              <w:marRight w:val="0"/>
              <w:marTop w:val="0"/>
              <w:marBottom w:val="0"/>
              <w:divBdr>
                <w:top w:val="none" w:sz="0" w:space="0" w:color="auto"/>
                <w:left w:val="none" w:sz="0" w:space="0" w:color="auto"/>
                <w:bottom w:val="none" w:sz="0" w:space="0" w:color="auto"/>
                <w:right w:val="none" w:sz="0" w:space="0" w:color="auto"/>
              </w:divBdr>
            </w:div>
            <w:div w:id="1577743477">
              <w:marLeft w:val="0"/>
              <w:marRight w:val="0"/>
              <w:marTop w:val="0"/>
              <w:marBottom w:val="0"/>
              <w:divBdr>
                <w:top w:val="none" w:sz="0" w:space="0" w:color="auto"/>
                <w:left w:val="none" w:sz="0" w:space="0" w:color="auto"/>
                <w:bottom w:val="none" w:sz="0" w:space="0" w:color="auto"/>
                <w:right w:val="none" w:sz="0" w:space="0" w:color="auto"/>
              </w:divBdr>
            </w:div>
            <w:div w:id="1429619923">
              <w:marLeft w:val="0"/>
              <w:marRight w:val="0"/>
              <w:marTop w:val="0"/>
              <w:marBottom w:val="0"/>
              <w:divBdr>
                <w:top w:val="none" w:sz="0" w:space="0" w:color="auto"/>
                <w:left w:val="none" w:sz="0" w:space="0" w:color="auto"/>
                <w:bottom w:val="none" w:sz="0" w:space="0" w:color="auto"/>
                <w:right w:val="none" w:sz="0" w:space="0" w:color="auto"/>
              </w:divBdr>
            </w:div>
            <w:div w:id="1886722338">
              <w:marLeft w:val="0"/>
              <w:marRight w:val="0"/>
              <w:marTop w:val="0"/>
              <w:marBottom w:val="0"/>
              <w:divBdr>
                <w:top w:val="none" w:sz="0" w:space="0" w:color="auto"/>
                <w:left w:val="none" w:sz="0" w:space="0" w:color="auto"/>
                <w:bottom w:val="none" w:sz="0" w:space="0" w:color="auto"/>
                <w:right w:val="none" w:sz="0" w:space="0" w:color="auto"/>
              </w:divBdr>
            </w:div>
            <w:div w:id="912739997">
              <w:marLeft w:val="0"/>
              <w:marRight w:val="0"/>
              <w:marTop w:val="0"/>
              <w:marBottom w:val="0"/>
              <w:divBdr>
                <w:top w:val="none" w:sz="0" w:space="0" w:color="auto"/>
                <w:left w:val="none" w:sz="0" w:space="0" w:color="auto"/>
                <w:bottom w:val="none" w:sz="0" w:space="0" w:color="auto"/>
                <w:right w:val="none" w:sz="0" w:space="0" w:color="auto"/>
              </w:divBdr>
            </w:div>
            <w:div w:id="1875077814">
              <w:marLeft w:val="0"/>
              <w:marRight w:val="0"/>
              <w:marTop w:val="0"/>
              <w:marBottom w:val="0"/>
              <w:divBdr>
                <w:top w:val="none" w:sz="0" w:space="0" w:color="auto"/>
                <w:left w:val="none" w:sz="0" w:space="0" w:color="auto"/>
                <w:bottom w:val="none" w:sz="0" w:space="0" w:color="auto"/>
                <w:right w:val="none" w:sz="0" w:space="0" w:color="auto"/>
              </w:divBdr>
            </w:div>
            <w:div w:id="1604261115">
              <w:marLeft w:val="0"/>
              <w:marRight w:val="0"/>
              <w:marTop w:val="0"/>
              <w:marBottom w:val="0"/>
              <w:divBdr>
                <w:top w:val="none" w:sz="0" w:space="0" w:color="auto"/>
                <w:left w:val="none" w:sz="0" w:space="0" w:color="auto"/>
                <w:bottom w:val="none" w:sz="0" w:space="0" w:color="auto"/>
                <w:right w:val="none" w:sz="0" w:space="0" w:color="auto"/>
              </w:divBdr>
            </w:div>
            <w:div w:id="1591547376">
              <w:marLeft w:val="0"/>
              <w:marRight w:val="0"/>
              <w:marTop w:val="0"/>
              <w:marBottom w:val="0"/>
              <w:divBdr>
                <w:top w:val="none" w:sz="0" w:space="0" w:color="auto"/>
                <w:left w:val="none" w:sz="0" w:space="0" w:color="auto"/>
                <w:bottom w:val="none" w:sz="0" w:space="0" w:color="auto"/>
                <w:right w:val="none" w:sz="0" w:space="0" w:color="auto"/>
              </w:divBdr>
            </w:div>
            <w:div w:id="644119685">
              <w:marLeft w:val="0"/>
              <w:marRight w:val="0"/>
              <w:marTop w:val="0"/>
              <w:marBottom w:val="0"/>
              <w:divBdr>
                <w:top w:val="none" w:sz="0" w:space="0" w:color="auto"/>
                <w:left w:val="none" w:sz="0" w:space="0" w:color="auto"/>
                <w:bottom w:val="none" w:sz="0" w:space="0" w:color="auto"/>
                <w:right w:val="none" w:sz="0" w:space="0" w:color="auto"/>
              </w:divBdr>
            </w:div>
            <w:div w:id="918556587">
              <w:marLeft w:val="0"/>
              <w:marRight w:val="0"/>
              <w:marTop w:val="0"/>
              <w:marBottom w:val="0"/>
              <w:divBdr>
                <w:top w:val="none" w:sz="0" w:space="0" w:color="auto"/>
                <w:left w:val="none" w:sz="0" w:space="0" w:color="auto"/>
                <w:bottom w:val="none" w:sz="0" w:space="0" w:color="auto"/>
                <w:right w:val="none" w:sz="0" w:space="0" w:color="auto"/>
              </w:divBdr>
            </w:div>
            <w:div w:id="1205557579">
              <w:marLeft w:val="0"/>
              <w:marRight w:val="0"/>
              <w:marTop w:val="0"/>
              <w:marBottom w:val="0"/>
              <w:divBdr>
                <w:top w:val="none" w:sz="0" w:space="0" w:color="auto"/>
                <w:left w:val="none" w:sz="0" w:space="0" w:color="auto"/>
                <w:bottom w:val="none" w:sz="0" w:space="0" w:color="auto"/>
                <w:right w:val="none" w:sz="0" w:space="0" w:color="auto"/>
              </w:divBdr>
              <w:divsChild>
                <w:div w:id="37946008">
                  <w:marLeft w:val="0"/>
                  <w:marRight w:val="0"/>
                  <w:marTop w:val="0"/>
                  <w:marBottom w:val="0"/>
                  <w:divBdr>
                    <w:top w:val="single" w:sz="12" w:space="0" w:color="000000"/>
                    <w:left w:val="single" w:sz="12" w:space="0" w:color="000000"/>
                    <w:bottom w:val="single" w:sz="12" w:space="0" w:color="000000"/>
                    <w:right w:val="single" w:sz="12" w:space="0" w:color="000000"/>
                  </w:divBdr>
                </w:div>
                <w:div w:id="101533686">
                  <w:marLeft w:val="0"/>
                  <w:marRight w:val="0"/>
                  <w:marTop w:val="0"/>
                  <w:marBottom w:val="0"/>
                  <w:divBdr>
                    <w:top w:val="none" w:sz="0" w:space="0" w:color="auto"/>
                    <w:left w:val="none" w:sz="0" w:space="0" w:color="auto"/>
                    <w:bottom w:val="none" w:sz="0" w:space="0" w:color="auto"/>
                    <w:right w:val="none" w:sz="0" w:space="0" w:color="auto"/>
                  </w:divBdr>
                </w:div>
              </w:divsChild>
            </w:div>
            <w:div w:id="779682663">
              <w:marLeft w:val="0"/>
              <w:marRight w:val="0"/>
              <w:marTop w:val="0"/>
              <w:marBottom w:val="0"/>
              <w:divBdr>
                <w:top w:val="none" w:sz="0" w:space="0" w:color="auto"/>
                <w:left w:val="none" w:sz="0" w:space="0" w:color="auto"/>
                <w:bottom w:val="none" w:sz="0" w:space="0" w:color="auto"/>
                <w:right w:val="none" w:sz="0" w:space="0" w:color="auto"/>
              </w:divBdr>
            </w:div>
            <w:div w:id="201064625">
              <w:marLeft w:val="0"/>
              <w:marRight w:val="0"/>
              <w:marTop w:val="0"/>
              <w:marBottom w:val="0"/>
              <w:divBdr>
                <w:top w:val="none" w:sz="0" w:space="0" w:color="auto"/>
                <w:left w:val="none" w:sz="0" w:space="0" w:color="auto"/>
                <w:bottom w:val="none" w:sz="0" w:space="0" w:color="auto"/>
                <w:right w:val="none" w:sz="0" w:space="0" w:color="auto"/>
              </w:divBdr>
              <w:divsChild>
                <w:div w:id="1729453070">
                  <w:marLeft w:val="0"/>
                  <w:marRight w:val="0"/>
                  <w:marTop w:val="0"/>
                  <w:marBottom w:val="0"/>
                  <w:divBdr>
                    <w:top w:val="single" w:sz="12" w:space="0" w:color="000000"/>
                    <w:left w:val="single" w:sz="12" w:space="0" w:color="000000"/>
                    <w:bottom w:val="single" w:sz="12" w:space="0" w:color="000000"/>
                    <w:right w:val="single" w:sz="12" w:space="0" w:color="000000"/>
                  </w:divBdr>
                </w:div>
                <w:div w:id="576213405">
                  <w:marLeft w:val="0"/>
                  <w:marRight w:val="0"/>
                  <w:marTop w:val="0"/>
                  <w:marBottom w:val="0"/>
                  <w:divBdr>
                    <w:top w:val="none" w:sz="0" w:space="0" w:color="auto"/>
                    <w:left w:val="none" w:sz="0" w:space="0" w:color="auto"/>
                    <w:bottom w:val="none" w:sz="0" w:space="0" w:color="auto"/>
                    <w:right w:val="none" w:sz="0" w:space="0" w:color="auto"/>
                  </w:divBdr>
                </w:div>
              </w:divsChild>
            </w:div>
            <w:div w:id="382098645">
              <w:marLeft w:val="0"/>
              <w:marRight w:val="0"/>
              <w:marTop w:val="0"/>
              <w:marBottom w:val="0"/>
              <w:divBdr>
                <w:top w:val="none" w:sz="0" w:space="0" w:color="auto"/>
                <w:left w:val="none" w:sz="0" w:space="0" w:color="auto"/>
                <w:bottom w:val="none" w:sz="0" w:space="0" w:color="auto"/>
                <w:right w:val="none" w:sz="0" w:space="0" w:color="auto"/>
              </w:divBdr>
            </w:div>
            <w:div w:id="1775126234">
              <w:marLeft w:val="0"/>
              <w:marRight w:val="0"/>
              <w:marTop w:val="0"/>
              <w:marBottom w:val="0"/>
              <w:divBdr>
                <w:top w:val="none" w:sz="0" w:space="0" w:color="auto"/>
                <w:left w:val="none" w:sz="0" w:space="0" w:color="auto"/>
                <w:bottom w:val="none" w:sz="0" w:space="0" w:color="auto"/>
                <w:right w:val="none" w:sz="0" w:space="0" w:color="auto"/>
              </w:divBdr>
              <w:divsChild>
                <w:div w:id="774012418">
                  <w:marLeft w:val="0"/>
                  <w:marRight w:val="0"/>
                  <w:marTop w:val="0"/>
                  <w:marBottom w:val="0"/>
                  <w:divBdr>
                    <w:top w:val="single" w:sz="12" w:space="0" w:color="000000"/>
                    <w:left w:val="single" w:sz="12" w:space="0" w:color="000000"/>
                    <w:bottom w:val="single" w:sz="12" w:space="0" w:color="000000"/>
                    <w:right w:val="single" w:sz="12" w:space="0" w:color="000000"/>
                  </w:divBdr>
                </w:div>
                <w:div w:id="1179928123">
                  <w:marLeft w:val="0"/>
                  <w:marRight w:val="0"/>
                  <w:marTop w:val="0"/>
                  <w:marBottom w:val="0"/>
                  <w:divBdr>
                    <w:top w:val="none" w:sz="0" w:space="0" w:color="auto"/>
                    <w:left w:val="none" w:sz="0" w:space="0" w:color="auto"/>
                    <w:bottom w:val="none" w:sz="0" w:space="0" w:color="auto"/>
                    <w:right w:val="none" w:sz="0" w:space="0" w:color="auto"/>
                  </w:divBdr>
                </w:div>
              </w:divsChild>
            </w:div>
            <w:div w:id="854030011">
              <w:marLeft w:val="0"/>
              <w:marRight w:val="0"/>
              <w:marTop w:val="0"/>
              <w:marBottom w:val="0"/>
              <w:divBdr>
                <w:top w:val="none" w:sz="0" w:space="0" w:color="auto"/>
                <w:left w:val="none" w:sz="0" w:space="0" w:color="auto"/>
                <w:bottom w:val="none" w:sz="0" w:space="0" w:color="auto"/>
                <w:right w:val="none" w:sz="0" w:space="0" w:color="auto"/>
              </w:divBdr>
            </w:div>
            <w:div w:id="1878542796">
              <w:marLeft w:val="0"/>
              <w:marRight w:val="0"/>
              <w:marTop w:val="0"/>
              <w:marBottom w:val="0"/>
              <w:divBdr>
                <w:top w:val="none" w:sz="0" w:space="0" w:color="auto"/>
                <w:left w:val="none" w:sz="0" w:space="0" w:color="auto"/>
                <w:bottom w:val="none" w:sz="0" w:space="0" w:color="auto"/>
                <w:right w:val="none" w:sz="0" w:space="0" w:color="auto"/>
              </w:divBdr>
              <w:divsChild>
                <w:div w:id="86089415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917907136">
              <w:marLeft w:val="0"/>
              <w:marRight w:val="0"/>
              <w:marTop w:val="0"/>
              <w:marBottom w:val="0"/>
              <w:divBdr>
                <w:top w:val="none" w:sz="0" w:space="0" w:color="auto"/>
                <w:left w:val="none" w:sz="0" w:space="0" w:color="auto"/>
                <w:bottom w:val="none" w:sz="0" w:space="0" w:color="auto"/>
                <w:right w:val="none" w:sz="0" w:space="0" w:color="auto"/>
              </w:divBdr>
            </w:div>
            <w:div w:id="883367294">
              <w:marLeft w:val="0"/>
              <w:marRight w:val="0"/>
              <w:marTop w:val="0"/>
              <w:marBottom w:val="0"/>
              <w:divBdr>
                <w:top w:val="none" w:sz="0" w:space="0" w:color="auto"/>
                <w:left w:val="none" w:sz="0" w:space="0" w:color="auto"/>
                <w:bottom w:val="none" w:sz="0" w:space="0" w:color="auto"/>
                <w:right w:val="none" w:sz="0" w:space="0" w:color="auto"/>
              </w:divBdr>
              <w:divsChild>
                <w:div w:id="9845126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9101898">
              <w:marLeft w:val="0"/>
              <w:marRight w:val="0"/>
              <w:marTop w:val="0"/>
              <w:marBottom w:val="0"/>
              <w:divBdr>
                <w:top w:val="none" w:sz="0" w:space="0" w:color="auto"/>
                <w:left w:val="none" w:sz="0" w:space="0" w:color="auto"/>
                <w:bottom w:val="none" w:sz="0" w:space="0" w:color="auto"/>
                <w:right w:val="none" w:sz="0" w:space="0" w:color="auto"/>
              </w:divBdr>
            </w:div>
            <w:div w:id="1878856678">
              <w:marLeft w:val="0"/>
              <w:marRight w:val="0"/>
              <w:marTop w:val="0"/>
              <w:marBottom w:val="0"/>
              <w:divBdr>
                <w:top w:val="none" w:sz="0" w:space="0" w:color="auto"/>
                <w:left w:val="none" w:sz="0" w:space="0" w:color="auto"/>
                <w:bottom w:val="none" w:sz="0" w:space="0" w:color="auto"/>
                <w:right w:val="none" w:sz="0" w:space="0" w:color="auto"/>
              </w:divBdr>
              <w:divsChild>
                <w:div w:id="9189081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23410161">
              <w:marLeft w:val="0"/>
              <w:marRight w:val="0"/>
              <w:marTop w:val="0"/>
              <w:marBottom w:val="0"/>
              <w:divBdr>
                <w:top w:val="none" w:sz="0" w:space="0" w:color="auto"/>
                <w:left w:val="none" w:sz="0" w:space="0" w:color="auto"/>
                <w:bottom w:val="none" w:sz="0" w:space="0" w:color="auto"/>
                <w:right w:val="none" w:sz="0" w:space="0" w:color="auto"/>
              </w:divBdr>
            </w:div>
            <w:div w:id="1109088379">
              <w:marLeft w:val="0"/>
              <w:marRight w:val="0"/>
              <w:marTop w:val="0"/>
              <w:marBottom w:val="0"/>
              <w:divBdr>
                <w:top w:val="none" w:sz="0" w:space="0" w:color="auto"/>
                <w:left w:val="none" w:sz="0" w:space="0" w:color="auto"/>
                <w:bottom w:val="none" w:sz="0" w:space="0" w:color="auto"/>
                <w:right w:val="none" w:sz="0" w:space="0" w:color="auto"/>
              </w:divBdr>
              <w:divsChild>
                <w:div w:id="19323071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22650829">
              <w:marLeft w:val="0"/>
              <w:marRight w:val="0"/>
              <w:marTop w:val="0"/>
              <w:marBottom w:val="0"/>
              <w:divBdr>
                <w:top w:val="none" w:sz="0" w:space="0" w:color="auto"/>
                <w:left w:val="none" w:sz="0" w:space="0" w:color="auto"/>
                <w:bottom w:val="none" w:sz="0" w:space="0" w:color="auto"/>
                <w:right w:val="none" w:sz="0" w:space="0" w:color="auto"/>
              </w:divBdr>
            </w:div>
            <w:div w:id="1051032431">
              <w:marLeft w:val="0"/>
              <w:marRight w:val="0"/>
              <w:marTop w:val="0"/>
              <w:marBottom w:val="0"/>
              <w:divBdr>
                <w:top w:val="none" w:sz="0" w:space="0" w:color="auto"/>
                <w:left w:val="none" w:sz="0" w:space="0" w:color="auto"/>
                <w:bottom w:val="none" w:sz="0" w:space="0" w:color="auto"/>
                <w:right w:val="none" w:sz="0" w:space="0" w:color="auto"/>
              </w:divBdr>
              <w:divsChild>
                <w:div w:id="5042463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2480496">
              <w:marLeft w:val="0"/>
              <w:marRight w:val="0"/>
              <w:marTop w:val="0"/>
              <w:marBottom w:val="0"/>
              <w:divBdr>
                <w:top w:val="none" w:sz="0" w:space="0" w:color="auto"/>
                <w:left w:val="none" w:sz="0" w:space="0" w:color="auto"/>
                <w:bottom w:val="none" w:sz="0" w:space="0" w:color="auto"/>
                <w:right w:val="none" w:sz="0" w:space="0" w:color="auto"/>
              </w:divBdr>
            </w:div>
            <w:div w:id="1972713873">
              <w:marLeft w:val="0"/>
              <w:marRight w:val="0"/>
              <w:marTop w:val="0"/>
              <w:marBottom w:val="0"/>
              <w:divBdr>
                <w:top w:val="none" w:sz="0" w:space="0" w:color="auto"/>
                <w:left w:val="none" w:sz="0" w:space="0" w:color="auto"/>
                <w:bottom w:val="none" w:sz="0" w:space="0" w:color="auto"/>
                <w:right w:val="none" w:sz="0" w:space="0" w:color="auto"/>
              </w:divBdr>
              <w:divsChild>
                <w:div w:id="85861780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00805358">
              <w:marLeft w:val="0"/>
              <w:marRight w:val="0"/>
              <w:marTop w:val="0"/>
              <w:marBottom w:val="0"/>
              <w:divBdr>
                <w:top w:val="none" w:sz="0" w:space="0" w:color="auto"/>
                <w:left w:val="none" w:sz="0" w:space="0" w:color="auto"/>
                <w:bottom w:val="none" w:sz="0" w:space="0" w:color="auto"/>
                <w:right w:val="none" w:sz="0" w:space="0" w:color="auto"/>
              </w:divBdr>
            </w:div>
            <w:div w:id="564493501">
              <w:marLeft w:val="0"/>
              <w:marRight w:val="0"/>
              <w:marTop w:val="0"/>
              <w:marBottom w:val="0"/>
              <w:divBdr>
                <w:top w:val="none" w:sz="0" w:space="0" w:color="auto"/>
                <w:left w:val="none" w:sz="0" w:space="0" w:color="auto"/>
                <w:bottom w:val="none" w:sz="0" w:space="0" w:color="auto"/>
                <w:right w:val="none" w:sz="0" w:space="0" w:color="auto"/>
              </w:divBdr>
              <w:divsChild>
                <w:div w:id="148839918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6321753">
              <w:marLeft w:val="0"/>
              <w:marRight w:val="0"/>
              <w:marTop w:val="0"/>
              <w:marBottom w:val="0"/>
              <w:divBdr>
                <w:top w:val="none" w:sz="0" w:space="0" w:color="auto"/>
                <w:left w:val="none" w:sz="0" w:space="0" w:color="auto"/>
                <w:bottom w:val="none" w:sz="0" w:space="0" w:color="auto"/>
                <w:right w:val="none" w:sz="0" w:space="0" w:color="auto"/>
              </w:divBdr>
            </w:div>
            <w:div w:id="1119644989">
              <w:marLeft w:val="0"/>
              <w:marRight w:val="0"/>
              <w:marTop w:val="0"/>
              <w:marBottom w:val="0"/>
              <w:divBdr>
                <w:top w:val="none" w:sz="0" w:space="0" w:color="auto"/>
                <w:left w:val="none" w:sz="0" w:space="0" w:color="auto"/>
                <w:bottom w:val="none" w:sz="0" w:space="0" w:color="auto"/>
                <w:right w:val="none" w:sz="0" w:space="0" w:color="auto"/>
              </w:divBdr>
              <w:divsChild>
                <w:div w:id="22318076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15960510">
              <w:marLeft w:val="0"/>
              <w:marRight w:val="0"/>
              <w:marTop w:val="0"/>
              <w:marBottom w:val="0"/>
              <w:divBdr>
                <w:top w:val="none" w:sz="0" w:space="0" w:color="auto"/>
                <w:left w:val="none" w:sz="0" w:space="0" w:color="auto"/>
                <w:bottom w:val="none" w:sz="0" w:space="0" w:color="auto"/>
                <w:right w:val="none" w:sz="0" w:space="0" w:color="auto"/>
              </w:divBdr>
            </w:div>
            <w:div w:id="1431268543">
              <w:marLeft w:val="0"/>
              <w:marRight w:val="0"/>
              <w:marTop w:val="0"/>
              <w:marBottom w:val="0"/>
              <w:divBdr>
                <w:top w:val="none" w:sz="0" w:space="0" w:color="auto"/>
                <w:left w:val="none" w:sz="0" w:space="0" w:color="auto"/>
                <w:bottom w:val="none" w:sz="0" w:space="0" w:color="auto"/>
                <w:right w:val="none" w:sz="0" w:space="0" w:color="auto"/>
              </w:divBdr>
              <w:divsChild>
                <w:div w:id="167734281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9179781">
              <w:marLeft w:val="0"/>
              <w:marRight w:val="0"/>
              <w:marTop w:val="0"/>
              <w:marBottom w:val="0"/>
              <w:divBdr>
                <w:top w:val="none" w:sz="0" w:space="0" w:color="auto"/>
                <w:left w:val="none" w:sz="0" w:space="0" w:color="auto"/>
                <w:bottom w:val="none" w:sz="0" w:space="0" w:color="auto"/>
                <w:right w:val="none" w:sz="0" w:space="0" w:color="auto"/>
              </w:divBdr>
              <w:divsChild>
                <w:div w:id="152336451">
                  <w:marLeft w:val="0"/>
                  <w:marRight w:val="0"/>
                  <w:marTop w:val="0"/>
                  <w:marBottom w:val="0"/>
                  <w:divBdr>
                    <w:top w:val="none" w:sz="0" w:space="0" w:color="auto"/>
                    <w:left w:val="none" w:sz="0" w:space="0" w:color="auto"/>
                    <w:bottom w:val="none" w:sz="0" w:space="0" w:color="auto"/>
                    <w:right w:val="none" w:sz="0" w:space="0" w:color="auto"/>
                  </w:divBdr>
                </w:div>
                <w:div w:id="192822534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cfr.gov/cgi-bin/text-idx?SID=54247aa51c97c7ad6824dd46bd5ad077&amp;node=sp40.13.63.dddd&amp;rgn=div6" TargetMode="External"/><Relationship Id="rId117" Type="http://schemas.openxmlformats.org/officeDocument/2006/relationships/hyperlink" Target="http://www.ecfr.gov/cgi-bin/text-idx?SID=54247aa51c97c7ad6824dd46bd5ad077&amp;node=sp40.13.63.dddd&amp;rgn=div6" TargetMode="External"/><Relationship Id="rId21" Type="http://schemas.openxmlformats.org/officeDocument/2006/relationships/hyperlink" Target="http://www.ecfr.gov/cgi-bin/text-idx?SID=54247aa51c97c7ad6824dd46bd5ad077&amp;node=sp40.13.63.dddd&amp;rgn=div6" TargetMode="External"/><Relationship Id="rId42" Type="http://schemas.openxmlformats.org/officeDocument/2006/relationships/hyperlink" Target="http://www.ecfr.gov/cgi-bin/text-idx?SID=54247aa51c97c7ad6824dd46bd5ad077&amp;node=sp40.13.63.dddd&amp;rgn=div6" TargetMode="External"/><Relationship Id="rId47" Type="http://schemas.openxmlformats.org/officeDocument/2006/relationships/hyperlink" Target="http://www.ecfr.gov/cgi-bin/text-idx?SID=54247aa51c97c7ad6824dd46bd5ad077&amp;node=sp40.13.63.dddd&amp;rgn=div6" TargetMode="External"/><Relationship Id="rId63" Type="http://schemas.openxmlformats.org/officeDocument/2006/relationships/hyperlink" Target="http://www.ecfr.gov/cgi-bin/text-idx?SID=54247aa51c97c7ad6824dd46bd5ad077&amp;node=sp40.13.63.dddd&amp;rgn=div6" TargetMode="External"/><Relationship Id="rId68" Type="http://schemas.openxmlformats.org/officeDocument/2006/relationships/hyperlink" Target="http://www.ecfr.gov/graphics/pdfs/er72ad04.000.pdf" TargetMode="External"/><Relationship Id="rId84" Type="http://schemas.openxmlformats.org/officeDocument/2006/relationships/image" Target="media/image6.gif"/><Relationship Id="rId89" Type="http://schemas.openxmlformats.org/officeDocument/2006/relationships/hyperlink" Target="http://www.ecfr.gov/cgi-bin/text-idx?SID=54247aa51c97c7ad6824dd46bd5ad077&amp;node=sp40.13.63.dddd&amp;rgn=div6" TargetMode="External"/><Relationship Id="rId112" Type="http://schemas.openxmlformats.org/officeDocument/2006/relationships/hyperlink" Target="http://www.ecfr.gov/cgi-bin/text-idx?SID=54247aa51c97c7ad6824dd46bd5ad077&amp;node=sp40.13.63.dddd&amp;rgn=div6" TargetMode="External"/><Relationship Id="rId16" Type="http://schemas.openxmlformats.org/officeDocument/2006/relationships/hyperlink" Target="http://www.ecfr.gov/cgi-bin/text-idx?SID=54247aa51c97c7ad6824dd46bd5ad077&amp;node=sp40.13.63.dddd&amp;rgn=div6" TargetMode="External"/><Relationship Id="rId107" Type="http://schemas.openxmlformats.org/officeDocument/2006/relationships/hyperlink" Target="http://www.ecfr.gov/cgi-bin/text-idx?SID=54247aa51c97c7ad6824dd46bd5ad077&amp;node=sp40.13.63.dddd&amp;rgn=div6" TargetMode="External"/><Relationship Id="rId11" Type="http://schemas.openxmlformats.org/officeDocument/2006/relationships/hyperlink" Target="http://www.ecfr.gov/cgi-bin/text-idx?SID=54247aa51c97c7ad6824dd46bd5ad077&amp;node=sp40.13.63.dddd&amp;rgn=div6" TargetMode="External"/><Relationship Id="rId32" Type="http://schemas.openxmlformats.org/officeDocument/2006/relationships/hyperlink" Target="http://www.ecfr.gov/cgi-bin/text-idx?SID=54247aa51c97c7ad6824dd46bd5ad077&amp;node=sp40.13.63.dddd&amp;rgn=div6" TargetMode="External"/><Relationship Id="rId37" Type="http://schemas.openxmlformats.org/officeDocument/2006/relationships/hyperlink" Target="http://www.ecfr.gov/cgi-bin/text-idx?SID=54247aa51c97c7ad6824dd46bd5ad077&amp;node=sp40.13.63.dddd&amp;rgn=div6" TargetMode="External"/><Relationship Id="rId53" Type="http://schemas.openxmlformats.org/officeDocument/2006/relationships/hyperlink" Target="http://www.ecfr.gov/cgi-bin/text-idx?SID=54247aa51c97c7ad6824dd46bd5ad077&amp;node=sp40.13.63.dddd&amp;rgn=div6" TargetMode="External"/><Relationship Id="rId58" Type="http://schemas.openxmlformats.org/officeDocument/2006/relationships/hyperlink" Target="http://www.ecfr.gov/cgi-bin/text-idx?SID=54247aa51c97c7ad6824dd46bd5ad077&amp;node=sp40.13.63.dddd&amp;rgn=div6" TargetMode="External"/><Relationship Id="rId74" Type="http://schemas.openxmlformats.org/officeDocument/2006/relationships/hyperlink" Target="http://www.ecfr.gov/cgi-bin/text-idx?SID=54247aa51c97c7ad6824dd46bd5ad077&amp;node=sp40.13.63.dddd&amp;rgn=div6" TargetMode="External"/><Relationship Id="rId79" Type="http://schemas.openxmlformats.org/officeDocument/2006/relationships/hyperlink" Target="http://www.ecfr.gov/cgi-bin/text-idx?SID=54247aa51c97c7ad6824dd46bd5ad077&amp;node=sp40.13.63.dddd&amp;rgn=div6" TargetMode="External"/><Relationship Id="rId102" Type="http://schemas.openxmlformats.org/officeDocument/2006/relationships/hyperlink" Target="http://www.ecfr.gov/cgi-bin/text-idx?SID=54247aa51c97c7ad6824dd46bd5ad077&amp;node=sp40.13.63.dddd&amp;rgn=div6" TargetMode="External"/><Relationship Id="rId123" Type="http://schemas.openxmlformats.org/officeDocument/2006/relationships/hyperlink" Target="http://www.ecfr.gov/cgi-bin/text-idx?SID=54247aa51c97c7ad6824dd46bd5ad077&amp;node=sp40.13.63.dddd&amp;rgn=div6" TargetMode="External"/><Relationship Id="rId128" Type="http://schemas.openxmlformats.org/officeDocument/2006/relationships/hyperlink" Target="http://www.ecfr.gov/graphics/pdfs/er72ad04.009.pdf" TargetMode="External"/><Relationship Id="rId5" Type="http://schemas.openxmlformats.org/officeDocument/2006/relationships/hyperlink" Target="http://www.ecfr.gov/cgi-bin/text-idx?SID=54247aa51c97c7ad6824dd46bd5ad077&amp;tpl=/ecfrbrowse/Title40/40chapterI.tpl" TargetMode="External"/><Relationship Id="rId90" Type="http://schemas.openxmlformats.org/officeDocument/2006/relationships/image" Target="media/image8.gif"/><Relationship Id="rId95" Type="http://schemas.openxmlformats.org/officeDocument/2006/relationships/hyperlink" Target="http://www.ecfr.gov/cgi-bin/text-idx?SID=54247aa51c97c7ad6824dd46bd5ad077&amp;node=sp40.13.63.dddd&amp;rgn=div6" TargetMode="External"/><Relationship Id="rId19" Type="http://schemas.openxmlformats.org/officeDocument/2006/relationships/hyperlink" Target="http://www.ecfr.gov/cgi-bin/text-idx?SID=54247aa51c97c7ad6824dd46bd5ad077&amp;node=sp40.13.63.dddd&amp;rgn=div6" TargetMode="External"/><Relationship Id="rId14" Type="http://schemas.openxmlformats.org/officeDocument/2006/relationships/hyperlink" Target="http://www.ecfr.gov/cgi-bin/text-idx?SID=54247aa51c97c7ad6824dd46bd5ad077&amp;node=sp40.13.63.dddd&amp;rgn=div6" TargetMode="External"/><Relationship Id="rId22" Type="http://schemas.openxmlformats.org/officeDocument/2006/relationships/hyperlink" Target="http://www.ecfr.gov/cgi-bin/text-idx?SID=54247aa51c97c7ad6824dd46bd5ad077&amp;node=sp40.13.63.dddd&amp;rgn=div6" TargetMode="External"/><Relationship Id="rId27" Type="http://schemas.openxmlformats.org/officeDocument/2006/relationships/hyperlink" Target="http://www.ecfr.gov/cgi-bin/text-idx?SID=54247aa51c97c7ad6824dd46bd5ad077&amp;node=sp40.13.63.dddd&amp;rgn=div6" TargetMode="External"/><Relationship Id="rId30" Type="http://schemas.openxmlformats.org/officeDocument/2006/relationships/hyperlink" Target="http://www.ecfr.gov/cgi-bin/text-idx?SID=54247aa51c97c7ad6824dd46bd5ad077&amp;node=sp40.13.63.dddd&amp;rgn=div6" TargetMode="External"/><Relationship Id="rId35" Type="http://schemas.openxmlformats.org/officeDocument/2006/relationships/hyperlink" Target="http://www.ecfr.gov/cgi-bin/text-idx?SID=54247aa51c97c7ad6824dd46bd5ad077&amp;node=sp40.13.63.dddd&amp;rgn=div6" TargetMode="External"/><Relationship Id="rId43" Type="http://schemas.openxmlformats.org/officeDocument/2006/relationships/hyperlink" Target="http://www.ecfr.gov/cgi-bin/text-idx?SID=54247aa51c97c7ad6824dd46bd5ad077&amp;node=sp40.13.63.dddd&amp;rgn=div6" TargetMode="External"/><Relationship Id="rId48" Type="http://schemas.openxmlformats.org/officeDocument/2006/relationships/hyperlink" Target="http://www.ecfr.gov/cgi-bin/text-idx?SID=54247aa51c97c7ad6824dd46bd5ad077&amp;node=sp40.13.63.dddd&amp;rgn=div6" TargetMode="External"/><Relationship Id="rId56" Type="http://schemas.openxmlformats.org/officeDocument/2006/relationships/hyperlink" Target="http://www.ecfr.gov/cgi-bin/text-idx?SID=54247aa51c97c7ad6824dd46bd5ad077&amp;node=sp40.13.63.dddd&amp;rgn=div6" TargetMode="External"/><Relationship Id="rId64" Type="http://schemas.openxmlformats.org/officeDocument/2006/relationships/hyperlink" Target="http://www.ecfr.gov/cgi-bin/text-idx?SID=54247aa51c97c7ad6824dd46bd5ad077&amp;node=sp40.13.63.dddd&amp;rgn=div6" TargetMode="External"/><Relationship Id="rId69" Type="http://schemas.openxmlformats.org/officeDocument/2006/relationships/image" Target="media/image3.gif"/><Relationship Id="rId77" Type="http://schemas.openxmlformats.org/officeDocument/2006/relationships/hyperlink" Target="http://www.ecfr.gov/cgi-bin/text-idx?SID=54247aa51c97c7ad6824dd46bd5ad077&amp;node=sp40.13.63.dddd&amp;rgn=div6" TargetMode="External"/><Relationship Id="rId100" Type="http://schemas.openxmlformats.org/officeDocument/2006/relationships/hyperlink" Target="http://www.ecfr.gov/cgi-bin/text-idx?SID=54247aa51c97c7ad6824dd46bd5ad077&amp;node=sp40.13.63.dddd&amp;rgn=div6" TargetMode="External"/><Relationship Id="rId105" Type="http://schemas.openxmlformats.org/officeDocument/2006/relationships/image" Target="media/image10.gif"/><Relationship Id="rId113" Type="http://schemas.openxmlformats.org/officeDocument/2006/relationships/hyperlink" Target="http://www.ecfr.gov/cgi-bin/text-idx?SID=54247aa51c97c7ad6824dd46bd5ad077&amp;node=sp40.13.63.dddd&amp;rgn=div6" TargetMode="External"/><Relationship Id="rId118" Type="http://schemas.openxmlformats.org/officeDocument/2006/relationships/hyperlink" Target="http://www.ecfr.gov/cgi-bin/text-idx?SID=54247aa51c97c7ad6824dd46bd5ad077&amp;node=sp40.13.63.dddd&amp;rgn=div6" TargetMode="External"/><Relationship Id="rId126" Type="http://schemas.openxmlformats.org/officeDocument/2006/relationships/hyperlink" Target="http://www.ecfr.gov/graphics/pdfs/er72ad04.008.pdf" TargetMode="External"/><Relationship Id="rId8" Type="http://schemas.openxmlformats.org/officeDocument/2006/relationships/hyperlink" Target="http://www.ecfr.gov/cgi-bin/retrieveECFR?gp=&amp;SID=54247aa51c97c7ad6824dd46bd5ad077&amp;r=SUBPART&amp;n=sp40.13.63.cccc" TargetMode="External"/><Relationship Id="rId51" Type="http://schemas.openxmlformats.org/officeDocument/2006/relationships/hyperlink" Target="http://www.ecfr.gov/cgi-bin/text-idx?SID=54247aa51c97c7ad6824dd46bd5ad077&amp;node=sp40.13.63.dddd&amp;rgn=div6" TargetMode="External"/><Relationship Id="rId72" Type="http://schemas.openxmlformats.org/officeDocument/2006/relationships/hyperlink" Target="http://www.ecfr.gov/graphics/pdfs/er72ad04.002.pdf" TargetMode="External"/><Relationship Id="rId80" Type="http://schemas.openxmlformats.org/officeDocument/2006/relationships/hyperlink" Target="http://www.ecfr.gov/cgi-bin/text-idx?SID=54247aa51c97c7ad6824dd46bd5ad077&amp;node=sp40.13.63.dddd&amp;rgn=div6" TargetMode="External"/><Relationship Id="rId85" Type="http://schemas.openxmlformats.org/officeDocument/2006/relationships/hyperlink" Target="http://www.ecfr.gov/graphics/pdfs/er72ad04.004.pdf" TargetMode="External"/><Relationship Id="rId93" Type="http://schemas.openxmlformats.org/officeDocument/2006/relationships/hyperlink" Target="http://www.ecfr.gov/cgi-bin/text-idx?SID=54247aa51c97c7ad6824dd46bd5ad077&amp;node=sp40.13.63.dddd&amp;rgn=div6" TargetMode="External"/><Relationship Id="rId98" Type="http://schemas.openxmlformats.org/officeDocument/2006/relationships/hyperlink" Target="http://www.ecfr.gov/graphics/pdfs/er72ad04.012.pdf" TargetMode="External"/><Relationship Id="rId121" Type="http://schemas.openxmlformats.org/officeDocument/2006/relationships/hyperlink" Target="http://www.ecfr.gov/cgi-bin/text-idx?SID=54247aa51c97c7ad6824dd46bd5ad077&amp;node=sp40.13.63.dddd&amp;rgn=div6" TargetMode="External"/><Relationship Id="rId3" Type="http://schemas.openxmlformats.org/officeDocument/2006/relationships/webSettings" Target="webSettings.xml"/><Relationship Id="rId12" Type="http://schemas.openxmlformats.org/officeDocument/2006/relationships/hyperlink" Target="http://www.ecfr.gov/cgi-bin/text-idx?SID=54247aa51c97c7ad6824dd46bd5ad077&amp;node=sp40.13.63.dddd&amp;rgn=div6" TargetMode="External"/><Relationship Id="rId17" Type="http://schemas.openxmlformats.org/officeDocument/2006/relationships/hyperlink" Target="http://www.ecfr.gov/cgi-bin/text-idx?SID=54247aa51c97c7ad6824dd46bd5ad077&amp;node=sp40.13.63.dddd&amp;rgn=div6" TargetMode="External"/><Relationship Id="rId25" Type="http://schemas.openxmlformats.org/officeDocument/2006/relationships/hyperlink" Target="http://www.ecfr.gov/cgi-bin/text-idx?SID=54247aa51c97c7ad6824dd46bd5ad077&amp;node=sp40.13.63.dddd&amp;rgn=div6" TargetMode="External"/><Relationship Id="rId33" Type="http://schemas.openxmlformats.org/officeDocument/2006/relationships/hyperlink" Target="http://www.ecfr.gov/cgi-bin/text-idx?SID=54247aa51c97c7ad6824dd46bd5ad077&amp;node=sp40.13.63.dddd&amp;rgn=div6" TargetMode="External"/><Relationship Id="rId38" Type="http://schemas.openxmlformats.org/officeDocument/2006/relationships/hyperlink" Target="http://www.ecfr.gov/cgi-bin/text-idx?SID=54247aa51c97c7ad6824dd46bd5ad077&amp;node=sp40.13.63.dddd&amp;rgn=div6" TargetMode="External"/><Relationship Id="rId46" Type="http://schemas.openxmlformats.org/officeDocument/2006/relationships/hyperlink" Target="http://www.ecfr.gov/cgi-bin/text-idx?SID=54247aa51c97c7ad6824dd46bd5ad077&amp;node=sp40.13.63.dddd&amp;rgn=div6" TargetMode="External"/><Relationship Id="rId59" Type="http://schemas.openxmlformats.org/officeDocument/2006/relationships/hyperlink" Target="http://www.ecfr.gov/cgi-bin/text-idx?SID=54247aa51c97c7ad6824dd46bd5ad077&amp;node=sp40.13.63.dddd&amp;rgn=div6#_top" TargetMode="External"/><Relationship Id="rId67" Type="http://schemas.openxmlformats.org/officeDocument/2006/relationships/image" Target="media/image2.gif"/><Relationship Id="rId103" Type="http://schemas.openxmlformats.org/officeDocument/2006/relationships/hyperlink" Target="http://www.ecfr.gov/cgi-bin/text-idx?SID=54247aa51c97c7ad6824dd46bd5ad077&amp;node=sp40.13.63.dddd&amp;rgn=div6" TargetMode="External"/><Relationship Id="rId108" Type="http://schemas.openxmlformats.org/officeDocument/2006/relationships/hyperlink" Target="http://www.ecfr.gov/cgi-bin/text-idx?SID=54247aa51c97c7ad6824dd46bd5ad077&amp;node=sp40.13.63.dddd&amp;rgn=div6" TargetMode="External"/><Relationship Id="rId116" Type="http://schemas.openxmlformats.org/officeDocument/2006/relationships/hyperlink" Target="http://www.ecfr.gov/cgi-bin/text-idx?SID=54247aa51c97c7ad6824dd46bd5ad077&amp;node=sp40.13.63.dddd&amp;rgn=div6" TargetMode="External"/><Relationship Id="rId124" Type="http://schemas.openxmlformats.org/officeDocument/2006/relationships/hyperlink" Target="http://www.ecfr.gov/cgi-bin/text-idx?SID=54247aa51c97c7ad6824dd46bd5ad077&amp;node=sp40.13.63.dddd&amp;rgn=div6" TargetMode="External"/><Relationship Id="rId129" Type="http://schemas.openxmlformats.org/officeDocument/2006/relationships/hyperlink" Target="http://www.ecfr.gov/cgi-bin/text-idx?SID=54247aa51c97c7ad6824dd46bd5ad077&amp;node=sp40.13.63.dddd&amp;rgn=div6" TargetMode="External"/><Relationship Id="rId20" Type="http://schemas.openxmlformats.org/officeDocument/2006/relationships/hyperlink" Target="http://www.ecfr.gov/cgi-bin/text-idx?SID=54247aa51c97c7ad6824dd46bd5ad077&amp;node=sp40.13.63.dddd&amp;rgn=div6" TargetMode="External"/><Relationship Id="rId41" Type="http://schemas.openxmlformats.org/officeDocument/2006/relationships/hyperlink" Target="http://www.ecfr.gov/cgi-bin/text-idx?SID=54247aa51c97c7ad6824dd46bd5ad077&amp;node=sp40.13.63.dddd&amp;rgn=div6" TargetMode="External"/><Relationship Id="rId54" Type="http://schemas.openxmlformats.org/officeDocument/2006/relationships/hyperlink" Target="http://www.ecfr.gov/cgi-bin/text-idx?SID=54247aa51c97c7ad6824dd46bd5ad077&amp;node=sp40.13.63.dddd&amp;rgn=div6" TargetMode="External"/><Relationship Id="rId62" Type="http://schemas.openxmlformats.org/officeDocument/2006/relationships/hyperlink" Target="http://www.ecfr.gov/cgi-bin/text-idx?SID=54247aa51c97c7ad6824dd46bd5ad077&amp;node=sp40.13.63.dddd&amp;rgn=div6" TargetMode="External"/><Relationship Id="rId70" Type="http://schemas.openxmlformats.org/officeDocument/2006/relationships/hyperlink" Target="http://www.ecfr.gov/graphics/pdfs/er72ad04.001.pdf" TargetMode="External"/><Relationship Id="rId75" Type="http://schemas.openxmlformats.org/officeDocument/2006/relationships/hyperlink" Target="http://www.ecfr.gov/cgi-bin/text-idx?SID=54247aa51c97c7ad6824dd46bd5ad077&amp;node=sp40.13.63.dddd&amp;rgn=div6" TargetMode="External"/><Relationship Id="rId83" Type="http://schemas.openxmlformats.org/officeDocument/2006/relationships/hyperlink" Target="http://www.ecfr.gov/graphics/pdfs/er72ad04.003.pdf" TargetMode="External"/><Relationship Id="rId88" Type="http://schemas.openxmlformats.org/officeDocument/2006/relationships/hyperlink" Target="http://www.ecfr.gov/cgi-bin/text-idx?SID=54247aa51c97c7ad6824dd46bd5ad077&amp;node=sp40.13.63.dddd&amp;rgn=div6" TargetMode="External"/><Relationship Id="rId91" Type="http://schemas.openxmlformats.org/officeDocument/2006/relationships/hyperlink" Target="http://www.ecfr.gov/graphics/pdfs/er72ad04.006.pdf" TargetMode="External"/><Relationship Id="rId96" Type="http://schemas.openxmlformats.org/officeDocument/2006/relationships/hyperlink" Target="http://www.ecfr.gov/cgi-bin/text-idx?SID=54247aa51c97c7ad6824dd46bd5ad077&amp;node=sp40.13.63.dddd&amp;rgn=div6" TargetMode="External"/><Relationship Id="rId111" Type="http://schemas.openxmlformats.org/officeDocument/2006/relationships/hyperlink" Target="http://www.ecfr.gov/cgi-bin/text-idx?SID=54247aa51c97c7ad6824dd46bd5ad077&amp;node=sp40.13.63.dddd&amp;rgn=div6" TargetMode="External"/><Relationship Id="rId1" Type="http://schemas.openxmlformats.org/officeDocument/2006/relationships/styles" Target="styles.xml"/><Relationship Id="rId6" Type="http://schemas.openxmlformats.org/officeDocument/2006/relationships/hyperlink" Target="http://www.ecfr.gov/cgi-bin/text-idx?SID=54247aa51c97c7ad6824dd46bd5ad077&amp;tpl=/ecfrbrowse/Title40/40CIsubchapC.tpl" TargetMode="External"/><Relationship Id="rId15" Type="http://schemas.openxmlformats.org/officeDocument/2006/relationships/hyperlink" Target="http://www.ecfr.gov/cgi-bin/text-idx?SID=54247aa51c97c7ad6824dd46bd5ad077&amp;node=sp40.13.63.dddd&amp;rgn=div6" TargetMode="External"/><Relationship Id="rId23" Type="http://schemas.openxmlformats.org/officeDocument/2006/relationships/hyperlink" Target="http://www.ecfr.gov/cgi-bin/text-idx?SID=54247aa51c97c7ad6824dd46bd5ad077&amp;node=sp40.13.63.dddd&amp;rgn=div6" TargetMode="External"/><Relationship Id="rId28" Type="http://schemas.openxmlformats.org/officeDocument/2006/relationships/hyperlink" Target="http://www.ecfr.gov/cgi-bin/text-idx?SID=54247aa51c97c7ad6824dd46bd5ad077&amp;node=sp40.13.63.dddd&amp;rgn=div6" TargetMode="External"/><Relationship Id="rId36" Type="http://schemas.openxmlformats.org/officeDocument/2006/relationships/hyperlink" Target="http://www.ecfr.gov/cgi-bin/text-idx?SID=54247aa51c97c7ad6824dd46bd5ad077&amp;node=sp40.13.63.dddd&amp;rgn=div6" TargetMode="External"/><Relationship Id="rId49" Type="http://schemas.openxmlformats.org/officeDocument/2006/relationships/hyperlink" Target="http://www.ecfr.gov/cgi-bin/text-idx?SID=54247aa51c97c7ad6824dd46bd5ad077&amp;node=sp40.13.63.dddd&amp;rgn=div6" TargetMode="External"/><Relationship Id="rId57" Type="http://schemas.openxmlformats.org/officeDocument/2006/relationships/hyperlink" Target="http://www.ecfr.gov/cgi-bin/text-idx?SID=54247aa51c97c7ad6824dd46bd5ad077&amp;node=sp40.13.63.dddd&amp;rgn=div6" TargetMode="External"/><Relationship Id="rId106" Type="http://schemas.openxmlformats.org/officeDocument/2006/relationships/hyperlink" Target="http://www.ecfr.gov/graphics/pdfs/er72ad04.007.pdf" TargetMode="External"/><Relationship Id="rId114" Type="http://schemas.openxmlformats.org/officeDocument/2006/relationships/hyperlink" Target="http://www.ecfr.gov/cgi-bin/text-idx?SID=54247aa51c97c7ad6824dd46bd5ad077&amp;node=sp40.13.63.dddd&amp;rgn=div6" TargetMode="External"/><Relationship Id="rId119" Type="http://schemas.openxmlformats.org/officeDocument/2006/relationships/hyperlink" Target="http://www.ecfr.gov/cgi-bin/text-idx?SID=54247aa51c97c7ad6824dd46bd5ad077&amp;node=sp40.13.63.dddd&amp;rgn=div6" TargetMode="External"/><Relationship Id="rId127" Type="http://schemas.openxmlformats.org/officeDocument/2006/relationships/image" Target="media/image12.gif"/><Relationship Id="rId10" Type="http://schemas.openxmlformats.org/officeDocument/2006/relationships/hyperlink" Target="http://www.ecfr.gov/cgi-bin/retrieveECFR?gp=&amp;SID=54247aa51c97c7ad6824dd46bd5ad077&amp;n=pt40.13.63&amp;r=PART&amp;ty=HTML" TargetMode="External"/><Relationship Id="rId31" Type="http://schemas.openxmlformats.org/officeDocument/2006/relationships/hyperlink" Target="http://www.ecfr.gov/cgi-bin/text-idx?SID=54247aa51c97c7ad6824dd46bd5ad077&amp;node=sp40.13.63.dddd&amp;rgn=div6" TargetMode="External"/><Relationship Id="rId44" Type="http://schemas.openxmlformats.org/officeDocument/2006/relationships/hyperlink" Target="http://www.ecfr.gov/cgi-bin/text-idx?SID=54247aa51c97c7ad6824dd46bd5ad077&amp;node=sp40.13.63.dddd&amp;rgn=div6" TargetMode="External"/><Relationship Id="rId52" Type="http://schemas.openxmlformats.org/officeDocument/2006/relationships/hyperlink" Target="http://www.ecfr.gov/cgi-bin/text-idx?SID=54247aa51c97c7ad6824dd46bd5ad077&amp;node=sp40.13.63.dddd&amp;rgn=div6" TargetMode="External"/><Relationship Id="rId60" Type="http://schemas.openxmlformats.org/officeDocument/2006/relationships/image" Target="media/image1.gif"/><Relationship Id="rId65" Type="http://schemas.openxmlformats.org/officeDocument/2006/relationships/hyperlink" Target="http://www.ecfr.gov/cgi-bin/text-idx?SID=54247aa51c97c7ad6824dd46bd5ad077&amp;node=sp40.13.63.dddd&amp;rgn=div6" TargetMode="External"/><Relationship Id="rId73" Type="http://schemas.openxmlformats.org/officeDocument/2006/relationships/hyperlink" Target="http://www.ecfr.gov/cgi-bin/text-idx?SID=54247aa51c97c7ad6824dd46bd5ad077&amp;node=sp40.13.63.dddd&amp;rgn=div6" TargetMode="External"/><Relationship Id="rId78" Type="http://schemas.openxmlformats.org/officeDocument/2006/relationships/hyperlink" Target="http://www.ecfr.gov/cgi-bin/text-idx?SID=54247aa51c97c7ad6824dd46bd5ad077&amp;node=sp40.13.63.dddd&amp;rgn=div6" TargetMode="External"/><Relationship Id="rId81" Type="http://schemas.openxmlformats.org/officeDocument/2006/relationships/hyperlink" Target="http://www.ecfr.gov/cgi-bin/text-idx?SID=54247aa51c97c7ad6824dd46bd5ad077&amp;node=sp40.13.63.dddd&amp;rgn=div6" TargetMode="External"/><Relationship Id="rId86" Type="http://schemas.openxmlformats.org/officeDocument/2006/relationships/image" Target="media/image7.gif"/><Relationship Id="rId94" Type="http://schemas.openxmlformats.org/officeDocument/2006/relationships/hyperlink" Target="http://www.ecfr.gov/cgi-bin/text-idx?SID=54247aa51c97c7ad6824dd46bd5ad077&amp;node=sp40.13.63.dddd&amp;rgn=div6" TargetMode="External"/><Relationship Id="rId99" Type="http://schemas.openxmlformats.org/officeDocument/2006/relationships/hyperlink" Target="http://www.ecfr.gov/cgi-bin/text-idx?SID=54247aa51c97c7ad6824dd46bd5ad077&amp;node=sp40.13.63.dddd&amp;rgn=div6" TargetMode="External"/><Relationship Id="rId101" Type="http://schemas.openxmlformats.org/officeDocument/2006/relationships/hyperlink" Target="http://www.ecfr.gov/cgi-bin/text-idx?SID=54247aa51c97c7ad6824dd46bd5ad077&amp;node=sp40.13.63.dddd&amp;rgn=div6" TargetMode="External"/><Relationship Id="rId122" Type="http://schemas.openxmlformats.org/officeDocument/2006/relationships/hyperlink" Target="http://www.ecfr.gov/cgi-bin/text-idx?SID=54247aa51c97c7ad6824dd46bd5ad077&amp;node=sp40.13.63.dddd&amp;rgn=div6" TargetMode="External"/><Relationship Id="rId130" Type="http://schemas.openxmlformats.org/officeDocument/2006/relationships/fontTable" Target="fontTable.xml"/><Relationship Id="rId4" Type="http://schemas.openxmlformats.org/officeDocument/2006/relationships/hyperlink" Target="http://www.ecfr.gov/cgi-bin/text-idx?SID=54247aa51c97c7ad6824dd46bd5ad077&amp;tpl=/ecfrbrowse/Title40/40tab_02.tpl" TargetMode="External"/><Relationship Id="rId9" Type="http://schemas.openxmlformats.org/officeDocument/2006/relationships/hyperlink" Target="http://www.ecfr.gov/cgi-bin/retrieveECFR?gp=&amp;SID=54247aa51c97c7ad6824dd46bd5ad077&amp;r=SUBPART&amp;n=sp40.13.63.eeee" TargetMode="External"/><Relationship Id="rId13" Type="http://schemas.openxmlformats.org/officeDocument/2006/relationships/hyperlink" Target="http://www.ecfr.gov/cgi-bin/text-idx?SID=54247aa51c97c7ad6824dd46bd5ad077&amp;node=sp40.13.63.dddd&amp;rgn=div6" TargetMode="External"/><Relationship Id="rId18" Type="http://schemas.openxmlformats.org/officeDocument/2006/relationships/hyperlink" Target="http://www.ecfr.gov/cgi-bin/text-idx?SID=54247aa51c97c7ad6824dd46bd5ad077&amp;node=sp40.13.63.dddd&amp;rgn=div6" TargetMode="External"/><Relationship Id="rId39" Type="http://schemas.openxmlformats.org/officeDocument/2006/relationships/hyperlink" Target="http://www.ecfr.gov/cgi-bin/text-idx?SID=54247aa51c97c7ad6824dd46bd5ad077&amp;node=sp40.13.63.dddd&amp;rgn=div6" TargetMode="External"/><Relationship Id="rId109" Type="http://schemas.openxmlformats.org/officeDocument/2006/relationships/hyperlink" Target="http://www.ecfr.gov/cgi-bin/text-idx?SID=54247aa51c97c7ad6824dd46bd5ad077&amp;node=sp40.13.63.dddd&amp;rgn=div6" TargetMode="External"/><Relationship Id="rId34" Type="http://schemas.openxmlformats.org/officeDocument/2006/relationships/hyperlink" Target="http://www.ecfr.gov/cgi-bin/text-idx?SID=54247aa51c97c7ad6824dd46bd5ad077&amp;node=sp40.13.63.dddd&amp;rgn=div6" TargetMode="External"/><Relationship Id="rId50" Type="http://schemas.openxmlformats.org/officeDocument/2006/relationships/hyperlink" Target="http://www.ecfr.gov/cgi-bin/text-idx?SID=54247aa51c97c7ad6824dd46bd5ad077&amp;node=sp40.13.63.dddd&amp;rgn=div6" TargetMode="External"/><Relationship Id="rId55" Type="http://schemas.openxmlformats.org/officeDocument/2006/relationships/hyperlink" Target="http://www.ecfr.gov/cgi-bin/text-idx?SID=54247aa51c97c7ad6824dd46bd5ad077&amp;node=sp40.13.63.dddd&amp;rgn=div6" TargetMode="External"/><Relationship Id="rId76" Type="http://schemas.openxmlformats.org/officeDocument/2006/relationships/hyperlink" Target="http://www.ecfr.gov/cgi-bin/text-idx?SID=54247aa51c97c7ad6824dd46bd5ad077&amp;node=sp40.13.63.dddd&amp;rgn=div6" TargetMode="External"/><Relationship Id="rId97" Type="http://schemas.openxmlformats.org/officeDocument/2006/relationships/image" Target="media/image9.gif"/><Relationship Id="rId104" Type="http://schemas.openxmlformats.org/officeDocument/2006/relationships/hyperlink" Target="http://www.ecfr.gov/cgi-bin/text-idx?SID=54247aa51c97c7ad6824dd46bd5ad077&amp;node=sp40.13.63.dddd&amp;rgn=div6" TargetMode="External"/><Relationship Id="rId120" Type="http://schemas.openxmlformats.org/officeDocument/2006/relationships/hyperlink" Target="http://www.ecfr.gov/cgi-bin/text-idx?SID=54247aa51c97c7ad6824dd46bd5ad077&amp;node=sp40.13.63.dddd&amp;rgn=div6" TargetMode="External"/><Relationship Id="rId125" Type="http://schemas.openxmlformats.org/officeDocument/2006/relationships/image" Target="media/image11.gif"/><Relationship Id="rId7" Type="http://schemas.openxmlformats.org/officeDocument/2006/relationships/hyperlink" Target="http://www.ecfr.gov/cgi-bin/retrieveECFR?gp=&amp;SID=54247aa51c97c7ad6824dd46bd5ad077&amp;n=pt40.13.63&amp;r=PART&amp;ty=HTML" TargetMode="External"/><Relationship Id="rId71" Type="http://schemas.openxmlformats.org/officeDocument/2006/relationships/image" Target="media/image4.gif"/><Relationship Id="rId92" Type="http://schemas.openxmlformats.org/officeDocument/2006/relationships/hyperlink" Target="http://www.ecfr.gov/cgi-bin/text-idx?SID=54247aa51c97c7ad6824dd46bd5ad077&amp;node=sp40.13.63.dddd&amp;rgn=div6" TargetMode="External"/><Relationship Id="rId2" Type="http://schemas.openxmlformats.org/officeDocument/2006/relationships/settings" Target="settings.xml"/><Relationship Id="rId29" Type="http://schemas.openxmlformats.org/officeDocument/2006/relationships/hyperlink" Target="http://www.ecfr.gov/cgi-bin/text-idx?SID=54247aa51c97c7ad6824dd46bd5ad077&amp;node=sp40.13.63.dddd&amp;rgn=div6" TargetMode="External"/><Relationship Id="rId24" Type="http://schemas.openxmlformats.org/officeDocument/2006/relationships/hyperlink" Target="http://www.ecfr.gov/cgi-bin/text-idx?SID=54247aa51c97c7ad6824dd46bd5ad077&amp;node=sp40.13.63.dddd&amp;rgn=div6" TargetMode="External"/><Relationship Id="rId40" Type="http://schemas.openxmlformats.org/officeDocument/2006/relationships/hyperlink" Target="http://www.ecfr.gov/cgi-bin/text-idx?SID=54247aa51c97c7ad6824dd46bd5ad077&amp;node=sp40.13.63.dddd&amp;rgn=div6" TargetMode="External"/><Relationship Id="rId45" Type="http://schemas.openxmlformats.org/officeDocument/2006/relationships/hyperlink" Target="http://www.ecfr.gov/cgi-bin/text-idx?SID=54247aa51c97c7ad6824dd46bd5ad077&amp;node=sp40.13.63.dddd&amp;rgn=div6" TargetMode="External"/><Relationship Id="rId66" Type="http://schemas.openxmlformats.org/officeDocument/2006/relationships/hyperlink" Target="http://www.ecfr.gov/cgi-bin/text-idx?SID=54247aa51c97c7ad6824dd46bd5ad077&amp;node=sp40.13.63.dddd&amp;rgn=div6" TargetMode="External"/><Relationship Id="rId87" Type="http://schemas.openxmlformats.org/officeDocument/2006/relationships/hyperlink" Target="http://www.ecfr.gov/graphics/pdfs/er72ad04.005.pdf" TargetMode="External"/><Relationship Id="rId110" Type="http://schemas.openxmlformats.org/officeDocument/2006/relationships/hyperlink" Target="http://www.ecfr.gov/cgi-bin/text-idx?SID=54247aa51c97c7ad6824dd46bd5ad077&amp;node=sp40.13.63.dddd&amp;rgn=div6" TargetMode="External"/><Relationship Id="rId115" Type="http://schemas.openxmlformats.org/officeDocument/2006/relationships/hyperlink" Target="http://www.ecfr.gov/cgi-bin/text-idx?SID=54247aa51c97c7ad6824dd46bd5ad077&amp;node=sp40.13.63.dddd&amp;rgn=div6" TargetMode="External"/><Relationship Id="rId131" Type="http://schemas.openxmlformats.org/officeDocument/2006/relationships/theme" Target="theme/theme1.xml"/><Relationship Id="rId61" Type="http://schemas.openxmlformats.org/officeDocument/2006/relationships/hyperlink" Target="http://www.ecfr.gov/cgi-bin/text-idx?SID=54247aa51c97c7ad6824dd46bd5ad077&amp;node=sp40.13.63.dddd&amp;rgn=div6" TargetMode="External"/><Relationship Id="rId82"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68</Pages>
  <Words>27063</Words>
  <Characters>154262</Characters>
  <Application>Microsoft Office Word</Application>
  <DocSecurity>0</DocSecurity>
  <Lines>1285</Lines>
  <Paragraphs>361</Paragraphs>
  <ScaleCrop>false</ScaleCrop>
  <Company/>
  <LinksUpToDate>false</LinksUpToDate>
  <CharactersWithSpaces>180964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Maybin, Leslie</dc:creator>
  <cp:keywords/>
  <dc:description/>
  <cp:lastModifiedBy>Maybin, Leslie</cp:lastModifiedBy>
  <cp:revision>3</cp:revision>
  <dcterms:created xsi:type="dcterms:W3CDTF">2014-12-23T16:04:00Z</dcterms:created>
  <dcterms:modified xsi:type="dcterms:W3CDTF">2014-12-23T16:12:00Z</dcterms:modified>
</cp:coreProperties>
</file>